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AAC3">
      <w:pPr>
        <w:pStyle w:val="10"/>
        <w:rPr>
          <w:rFonts w:hint="eastAsia" w:ascii="仿宋_GB2312" w:hAnsi="仿宋_GB2312" w:eastAsia="仿宋_GB2312" w:cs="仿宋_GB2312"/>
          <w:color w:val="auto"/>
          <w:sz w:val="32"/>
          <w:szCs w:val="3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616585</wp:posOffset>
                </wp:positionV>
                <wp:extent cx="5669915" cy="5715"/>
                <wp:effectExtent l="0" t="25400" r="6985" b="26035"/>
                <wp:wrapNone/>
                <wp:docPr id="1" name="直接连接符 1"/>
                <wp:cNvGraphicFramePr/>
                <a:graphic xmlns:a="http://schemas.openxmlformats.org/drawingml/2006/main">
                  <a:graphicData uri="http://schemas.microsoft.com/office/word/2010/wordprocessingShape">
                    <wps:wsp>
                      <wps:cNvCnPr/>
                      <wps:spPr>
                        <a:xfrm>
                          <a:off x="0" y="0"/>
                          <a:ext cx="5669915" cy="5715"/>
                        </a:xfrm>
                        <a:prstGeom prst="line">
                          <a:avLst/>
                        </a:prstGeom>
                        <a:noFill/>
                        <a:ln w="508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65pt;margin-top:48.55pt;height:0.45pt;width:446.45pt;z-index:251659264;mso-width-relative:page;mso-height-relative:page;" filled="f" stroked="t" coordsize="21600,21600" o:gfxdata="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3elT2AAAAAgBAAAPAAAAAAAAAAEAIAAAACIAAABkcnMvZG93bnJldi54bWxQSwECFAAUAAAA&#10;CACHTuJAtIqKbe4BAADDAwAADgAAAAAAAAABACAAAAAnAQAAZHJzL2Uyb0RvYy54bWxQSwUGAAAA&#10;AAYABgBZAQAAhwUAAAAA&#10;">
                <v:fill on="f" focussize="0,0"/>
                <v:stroke weight="4pt" color="#FF0000" miterlimit="8" joinstyle="miter"/>
                <v:imagedata o:title=""/>
                <o:lock v:ext="edit" aspectratio="f"/>
              </v:line>
            </w:pict>
          </mc:Fallback>
        </mc:AlternateContent>
      </w:r>
      <w:r>
        <w:rPr>
          <w:rFonts w:ascii="方正小标宋简体" w:eastAsia="方正小标宋简体"/>
          <w:color w:val="auto"/>
          <w:spacing w:val="-22"/>
          <w:sz w:val="21"/>
          <w:szCs w:val="21"/>
        </w:rPr>
        <w:pict>
          <v:shape id="_x0000_i1025" o:spt="136" type="#_x0000_t136" style="height:33pt;width:445.15pt;" fillcolor="#FF0000" filled="t" stroked="f" coordsize="21600,21600" adj="10800">
            <v:path/>
            <v:fill on="t" color2="#FFFFFF" focussize="0,0"/>
            <v:stroke on="f"/>
            <v:imagedata o:title=""/>
            <o:lock v:ext="edit" aspectratio="f"/>
            <v:textpath on="t" fitshape="t" fitpath="t" trim="t" xscale="f" string="新疆维吾尔自治区和田县农业农村局" style="font-family:方正小标宋简体;font-size:28pt;font-weight:bold;v-same-letter-heights:t;v-text-align:stretch-justify;v-text-spacing:65536f;"/>
            <w10:wrap type="none"/>
            <w10:anchorlock/>
          </v:shape>
        </w:pict>
      </w:r>
    </w:p>
    <w:p w14:paraId="67618643">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eastAsia="方正小标宋简体"/>
          <w:color w:val="auto"/>
          <w:spacing w:val="-22"/>
          <w:sz w:val="52"/>
          <w:szCs w:val="52"/>
          <w:lang w:val="en-US" w:eastAsia="zh-CN"/>
        </w:rPr>
      </w:pPr>
      <w:r>
        <w:rPr>
          <w:rFonts w:hint="default" w:ascii="方正小标宋简体" w:eastAsia="方正小标宋简体"/>
          <w:color w:val="auto"/>
          <w:spacing w:val="-22"/>
          <w:sz w:val="52"/>
          <w:szCs w:val="52"/>
          <w:lang w:val="en-US" w:eastAsia="zh-CN"/>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46990</wp:posOffset>
                </wp:positionV>
                <wp:extent cx="5669915" cy="0"/>
                <wp:effectExtent l="0" t="9525" r="6985" b="9525"/>
                <wp:wrapNone/>
                <wp:docPr id="7" name="直接连接符 7"/>
                <wp:cNvGraphicFramePr/>
                <a:graphic xmlns:a="http://schemas.openxmlformats.org/drawingml/2006/main">
                  <a:graphicData uri="http://schemas.microsoft.com/office/word/2010/wordprocessingShape">
                    <wps:wsp>
                      <wps:cNvCnPr/>
                      <wps:spPr>
                        <a:xfrm>
                          <a:off x="0" y="0"/>
                          <a:ext cx="566991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55pt;margin-top:3.7pt;height:0pt;width:446.45pt;z-index:251660288;mso-width-relative:page;mso-height-relative:page;" filled="f" stroked="t" coordsize="21600,21600" o:gfxdata="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adiC/S&#10;AAAABgEAAA8AAAAAAAAAAQAgAAAAIgAAAGRycy9kb3ducmV2LnhtbFBLAQIUABQAAAAIAIdO4kBC&#10;9PMk7QEAAMADAAAOAAAAAAAAAAEAIAAAACEBAABkcnMvZTJvRG9jLnhtbFBLBQYAAAAABgAGAFkB&#10;AACABQAAAAA=&#10;">
                <v:fill on="f" focussize="0,0"/>
                <v:stroke weight="1.5pt" color="#FF0000" miterlimit="8" joinstyle="miter"/>
                <v:imagedata o:title=""/>
                <o:lock v:ext="edit" aspectratio="f"/>
              </v:line>
            </w:pict>
          </mc:Fallback>
        </mc:AlternateContent>
      </w:r>
    </w:p>
    <w:p w14:paraId="7A94F18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color w:val="auto"/>
          <w:sz w:val="44"/>
          <w:szCs w:val="44"/>
          <w:lang w:val="en-US" w:eastAsia="zh-CN"/>
        </w:rPr>
        <w:t>《和田县农村土地承包经营权和地上附着物抵押贷款管理办法》</w:t>
      </w:r>
      <w:r>
        <w:rPr>
          <w:rFonts w:hint="eastAsia" w:ascii="方正小标宋简体" w:hAnsi="方正小标宋简体" w:eastAsia="方正小标宋简体" w:cs="方正小标宋简体"/>
          <w:i w:val="0"/>
          <w:iCs w:val="0"/>
          <w:caps w:val="0"/>
          <w:color w:val="auto"/>
          <w:spacing w:val="0"/>
          <w:sz w:val="44"/>
          <w:szCs w:val="44"/>
        </w:rPr>
        <w:t>政策解读</w:t>
      </w:r>
    </w:p>
    <w:p w14:paraId="186D44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880" w:firstLineChars="200"/>
        <w:jc w:val="left"/>
        <w:textAlignment w:val="auto"/>
        <w:rPr>
          <w:rFonts w:hint="eastAsia" w:ascii="方正小标宋简体" w:hAnsi="方正小标宋简体" w:eastAsia="方正小标宋简体" w:cs="方正小标宋简体"/>
          <w:i w:val="0"/>
          <w:iCs w:val="0"/>
          <w:caps w:val="0"/>
          <w:color w:val="auto"/>
          <w:spacing w:val="0"/>
          <w:sz w:val="44"/>
          <w:szCs w:val="44"/>
        </w:rPr>
      </w:pPr>
    </w:p>
    <w:p w14:paraId="6C45B2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i w:val="0"/>
          <w:iCs w:val="0"/>
          <w:caps w:val="0"/>
          <w:color w:val="auto"/>
          <w:spacing w:val="0"/>
          <w:sz w:val="32"/>
          <w:szCs w:val="32"/>
        </w:rPr>
        <w:t>一、办法制定的必要性和可行性</w:t>
      </w:r>
    </w:p>
    <w:p w14:paraId="70B5C3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val="0"/>
          <w:bCs w:val="0"/>
          <w:color w:val="auto"/>
          <w:sz w:val="32"/>
          <w:szCs w:val="32"/>
        </w:rPr>
        <w:t>为维护农村土地承包经营权流转双方的合法权益，支持农村土地集约化、规模化经营，</w:t>
      </w:r>
      <w:r>
        <w:rPr>
          <w:rFonts w:hint="eastAsia" w:ascii="方正仿宋简体" w:hAnsi="方正仿宋简体" w:eastAsia="方正仿宋简体" w:cs="方正仿宋简体"/>
          <w:b w:val="0"/>
          <w:bCs w:val="0"/>
          <w:color w:val="auto"/>
          <w:sz w:val="32"/>
          <w:szCs w:val="32"/>
          <w:lang w:eastAsia="zh-CN"/>
        </w:rPr>
        <w:t>提升农村农业资本投入水平，解决</w:t>
      </w:r>
      <w:r>
        <w:rPr>
          <w:rFonts w:hint="eastAsia" w:ascii="方正仿宋简体" w:hAnsi="方正仿宋简体" w:eastAsia="方正仿宋简体" w:cs="方正仿宋简体"/>
          <w:b w:val="0"/>
          <w:bCs w:val="0"/>
          <w:color w:val="auto"/>
          <w:sz w:val="32"/>
          <w:szCs w:val="32"/>
          <w:lang w:val="en-US" w:eastAsia="zh-CN"/>
        </w:rPr>
        <w:t>好</w:t>
      </w:r>
      <w:r>
        <w:rPr>
          <w:rFonts w:hint="eastAsia" w:ascii="方正仿宋简体" w:hAnsi="方正仿宋简体" w:eastAsia="方正仿宋简体" w:cs="方正仿宋简体"/>
          <w:b w:val="0"/>
          <w:bCs w:val="0"/>
          <w:color w:val="auto"/>
          <w:sz w:val="32"/>
          <w:szCs w:val="32"/>
          <w:lang w:eastAsia="zh-CN"/>
        </w:rPr>
        <w:t>农业设施产权合法交易的问题，防止和减少权属纠纷，</w:t>
      </w:r>
      <w:r>
        <w:rPr>
          <w:rFonts w:hint="eastAsia" w:ascii="方正仿宋简体" w:hAnsi="方正仿宋简体" w:eastAsia="方正仿宋简体" w:cs="方正仿宋简体"/>
          <w:b w:val="0"/>
          <w:bCs w:val="0"/>
          <w:color w:val="auto"/>
          <w:sz w:val="32"/>
          <w:szCs w:val="32"/>
          <w:lang w:val="en-US" w:eastAsia="zh-CN"/>
        </w:rPr>
        <w:t>有效激活农村生产要素，</w:t>
      </w:r>
      <w:r>
        <w:rPr>
          <w:rFonts w:hint="eastAsia" w:ascii="方正仿宋简体" w:hAnsi="方正仿宋简体" w:eastAsia="方正仿宋简体" w:cs="方正仿宋简体"/>
          <w:color w:val="auto"/>
          <w:sz w:val="32"/>
          <w:szCs w:val="32"/>
        </w:rPr>
        <w:t>创新金融产品和服务，拓宽“三农”融资渠道，进一步扩大农业农村有效投资规模，</w:t>
      </w:r>
      <w:r>
        <w:rPr>
          <w:rFonts w:hint="eastAsia" w:ascii="方正仿宋简体" w:hAnsi="方正仿宋简体" w:eastAsia="方正仿宋简体" w:cs="方正仿宋简体"/>
          <w:i w:val="0"/>
          <w:iCs w:val="0"/>
          <w:caps w:val="0"/>
          <w:color w:val="auto"/>
          <w:spacing w:val="0"/>
          <w:sz w:val="32"/>
          <w:szCs w:val="32"/>
        </w:rPr>
        <w:t>加强对农业适度规模经营主体的信贷支持</w:t>
      </w:r>
      <w:r>
        <w:rPr>
          <w:rFonts w:hint="eastAsia" w:ascii="方正仿宋简体" w:hAnsi="方正仿宋简体" w:eastAsia="方正仿宋简体" w:cs="方正仿宋简体"/>
          <w:i w:val="0"/>
          <w:iCs w:val="0"/>
          <w:caps w:val="0"/>
          <w:color w:val="auto"/>
          <w:spacing w:val="0"/>
          <w:sz w:val="32"/>
          <w:szCs w:val="32"/>
          <w:lang w:eastAsia="zh-CN"/>
        </w:rPr>
        <w:t>，</w:t>
      </w:r>
      <w:r>
        <w:rPr>
          <w:rFonts w:hint="eastAsia" w:ascii="方正仿宋简体" w:hAnsi="方正仿宋简体" w:eastAsia="方正仿宋简体" w:cs="方正仿宋简体"/>
          <w:color w:val="auto"/>
          <w:sz w:val="32"/>
          <w:szCs w:val="32"/>
        </w:rPr>
        <w:t>推动农业产业化发展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 xml:space="preserve">   </w:t>
      </w:r>
    </w:p>
    <w:p w14:paraId="1C9B0B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i w:val="0"/>
          <w:iCs w:val="0"/>
          <w:caps w:val="0"/>
          <w:color w:val="auto"/>
          <w:spacing w:val="0"/>
          <w:sz w:val="32"/>
          <w:szCs w:val="32"/>
        </w:rPr>
        <w:t>二、办法制定依据</w:t>
      </w:r>
    </w:p>
    <w:p w14:paraId="3ADD4C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lang w:val="en-US" w:eastAsia="zh-CN"/>
        </w:rPr>
        <w:t>1.</w:t>
      </w:r>
      <w:r>
        <w:rPr>
          <w:rFonts w:hint="eastAsia" w:ascii="方正仿宋简体" w:hAnsi="方正仿宋简体" w:eastAsia="方正仿宋简体" w:cs="方正仿宋简体"/>
          <w:i w:val="0"/>
          <w:iCs w:val="0"/>
          <w:caps w:val="0"/>
          <w:color w:val="auto"/>
          <w:spacing w:val="0"/>
          <w:sz w:val="32"/>
          <w:szCs w:val="32"/>
        </w:rPr>
        <w:t>《</w:t>
      </w:r>
      <w:r>
        <w:rPr>
          <w:rFonts w:hint="eastAsia" w:ascii="方正仿宋简体" w:hAnsi="方正仿宋简体" w:eastAsia="方正仿宋简体" w:cs="方正仿宋简体"/>
          <w:i w:val="0"/>
          <w:iCs w:val="0"/>
          <w:caps w:val="0"/>
          <w:color w:val="auto"/>
          <w:spacing w:val="0"/>
          <w:sz w:val="32"/>
          <w:szCs w:val="32"/>
          <w:lang w:val="en-US" w:eastAsia="zh-CN"/>
        </w:rPr>
        <w:t>中华人民共和国</w:t>
      </w:r>
      <w:r>
        <w:rPr>
          <w:rFonts w:hint="eastAsia" w:ascii="方正仿宋简体" w:hAnsi="方正仿宋简体" w:eastAsia="方正仿宋简体" w:cs="方正仿宋简体"/>
          <w:i w:val="0"/>
          <w:iCs w:val="0"/>
          <w:caps w:val="0"/>
          <w:color w:val="auto"/>
          <w:spacing w:val="0"/>
          <w:sz w:val="32"/>
          <w:szCs w:val="32"/>
        </w:rPr>
        <w:t>民法典》（第二编物权编）；</w:t>
      </w:r>
    </w:p>
    <w:p w14:paraId="2B7DC1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auto"/>
          <w:spacing w:val="0"/>
          <w:sz w:val="32"/>
          <w:szCs w:val="32"/>
          <w:lang w:eastAsia="zh-CN"/>
        </w:rPr>
      </w:pPr>
      <w:r>
        <w:rPr>
          <w:rFonts w:hint="eastAsia" w:ascii="方正仿宋简体" w:hAnsi="方正仿宋简体" w:eastAsia="方正仿宋简体" w:cs="方正仿宋简体"/>
          <w:i w:val="0"/>
          <w:iCs w:val="0"/>
          <w:caps w:val="0"/>
          <w:color w:val="auto"/>
          <w:spacing w:val="0"/>
          <w:sz w:val="32"/>
          <w:szCs w:val="32"/>
          <w:lang w:val="en-US" w:eastAsia="zh-CN"/>
        </w:rPr>
        <w:t>2.</w:t>
      </w:r>
      <w:r>
        <w:rPr>
          <w:rFonts w:hint="eastAsia" w:ascii="方正仿宋简体" w:hAnsi="方正仿宋简体" w:eastAsia="方正仿宋简体" w:cs="方正仿宋简体"/>
          <w:i w:val="0"/>
          <w:iCs w:val="0"/>
          <w:caps w:val="0"/>
          <w:color w:val="auto"/>
          <w:spacing w:val="0"/>
          <w:sz w:val="32"/>
          <w:szCs w:val="32"/>
        </w:rPr>
        <w:t>《中华人民共和国农村土地承包法》</w:t>
      </w:r>
      <w:r>
        <w:rPr>
          <w:rFonts w:hint="eastAsia" w:ascii="方正仿宋简体" w:hAnsi="方正仿宋简体" w:eastAsia="方正仿宋简体" w:cs="方正仿宋简体"/>
          <w:i w:val="0"/>
          <w:iCs w:val="0"/>
          <w:caps w:val="0"/>
          <w:color w:val="auto"/>
          <w:spacing w:val="0"/>
          <w:sz w:val="32"/>
          <w:szCs w:val="32"/>
          <w:lang w:eastAsia="zh-CN"/>
        </w:rPr>
        <w:t>；</w:t>
      </w:r>
    </w:p>
    <w:p w14:paraId="7F723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lang w:val="en-US" w:eastAsia="zh-CN"/>
        </w:rPr>
        <w:t>3.</w:t>
      </w:r>
      <w:r>
        <w:rPr>
          <w:rFonts w:hint="eastAsia" w:ascii="方正仿宋简体" w:hAnsi="方正仿宋简体" w:eastAsia="方正仿宋简体" w:cs="方正仿宋简体"/>
          <w:i w:val="0"/>
          <w:iCs w:val="0"/>
          <w:caps w:val="0"/>
          <w:color w:val="auto"/>
          <w:spacing w:val="0"/>
          <w:sz w:val="32"/>
          <w:szCs w:val="32"/>
        </w:rPr>
        <w:t>《关于开展农村承包土地的经营权和农民住房财产权抵押贷款试点的指导意见》（国发〔2015〕45号）；</w:t>
      </w:r>
    </w:p>
    <w:p w14:paraId="376ED5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lang w:val="en-US" w:eastAsia="zh-CN"/>
        </w:rPr>
        <w:t>4.</w:t>
      </w:r>
      <w:r>
        <w:rPr>
          <w:rFonts w:hint="eastAsia" w:ascii="方正仿宋简体" w:hAnsi="方正仿宋简体" w:eastAsia="方正仿宋简体" w:cs="方正仿宋简体"/>
          <w:i w:val="0"/>
          <w:iCs w:val="0"/>
          <w:caps w:val="0"/>
          <w:color w:val="auto"/>
          <w:spacing w:val="0"/>
          <w:sz w:val="32"/>
          <w:szCs w:val="32"/>
        </w:rPr>
        <w:t>《农村土地经营权流转管理办法》（农业农村部令2021年第1号）；</w:t>
      </w:r>
    </w:p>
    <w:p w14:paraId="43850B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i w:val="0"/>
          <w:iCs w:val="0"/>
          <w:caps w:val="0"/>
          <w:color w:val="auto"/>
          <w:spacing w:val="0"/>
          <w:sz w:val="32"/>
          <w:szCs w:val="32"/>
          <w:lang w:eastAsia="zh-CN"/>
        </w:rPr>
      </w:pPr>
      <w:r>
        <w:rPr>
          <w:rFonts w:hint="eastAsia" w:ascii="方正仿宋简体" w:hAnsi="方正仿宋简体" w:eastAsia="方正仿宋简体" w:cs="方正仿宋简体"/>
          <w:i w:val="0"/>
          <w:iCs w:val="0"/>
          <w:caps w:val="0"/>
          <w:color w:val="auto"/>
          <w:spacing w:val="0"/>
          <w:sz w:val="32"/>
          <w:szCs w:val="32"/>
          <w:lang w:val="en-US" w:eastAsia="zh-CN"/>
        </w:rPr>
        <w:t>5.</w:t>
      </w:r>
      <w:r>
        <w:rPr>
          <w:rFonts w:hint="eastAsia" w:ascii="方正仿宋简体" w:hAnsi="方正仿宋简体" w:eastAsia="方正仿宋简体" w:cs="方正仿宋简体"/>
          <w:i w:val="0"/>
          <w:iCs w:val="0"/>
          <w:caps w:val="0"/>
          <w:color w:val="auto"/>
          <w:spacing w:val="0"/>
          <w:sz w:val="32"/>
          <w:szCs w:val="32"/>
        </w:rPr>
        <w:t>《国务院关于开展农村承包土地的经营权和农民住房财产权抵押贷款试点的指导意见》（国发〔2015〕45号）</w:t>
      </w:r>
      <w:r>
        <w:rPr>
          <w:rFonts w:hint="eastAsia" w:ascii="方正仿宋简体" w:hAnsi="方正仿宋简体" w:eastAsia="方正仿宋简体" w:cs="方正仿宋简体"/>
          <w:i w:val="0"/>
          <w:iCs w:val="0"/>
          <w:caps w:val="0"/>
          <w:color w:val="auto"/>
          <w:spacing w:val="0"/>
          <w:sz w:val="32"/>
          <w:szCs w:val="32"/>
          <w:lang w:eastAsia="zh-CN"/>
        </w:rPr>
        <w:t>；</w:t>
      </w:r>
    </w:p>
    <w:p w14:paraId="569C428E">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小标宋简体" w:eastAsia="方正小标宋简体"/>
          <w:color w:val="auto"/>
          <w:spacing w:val="-22"/>
          <w:sz w:val="52"/>
          <w:szCs w:val="52"/>
          <w:lang w:val="en-US" w:eastAsia="zh-CN"/>
        </w:rPr>
        <w:sectPr>
          <w:footerReference r:id="rId3" w:type="default"/>
          <w:pgSz w:w="11900" w:h="16838"/>
          <w:pgMar w:top="1531" w:right="1531" w:bottom="1984" w:left="1531" w:header="851" w:footer="992" w:gutter="0"/>
          <w:pgNumType w:fmt="numberInDash"/>
          <w:cols w:space="0" w:num="1"/>
          <w:rtlGutter w:val="0"/>
          <w:docGrid w:type="lines" w:linePitch="327" w:charSpace="0"/>
        </w:sectPr>
      </w:pPr>
      <w:r>
        <w:rPr>
          <w:rFonts w:hint="eastAsia" w:ascii="方正仿宋简体" w:hAnsi="方正仿宋简体" w:eastAsia="方正仿宋简体" w:cs="方正仿宋简体"/>
          <w:i w:val="0"/>
          <w:iCs w:val="0"/>
          <w:caps w:val="0"/>
          <w:color w:val="auto"/>
          <w:spacing w:val="0"/>
          <w:sz w:val="32"/>
          <w:szCs w:val="32"/>
          <w:lang w:val="en-US" w:eastAsia="zh-CN"/>
        </w:rPr>
        <w:t>6.</w:t>
      </w:r>
      <w:r>
        <w:rPr>
          <w:rFonts w:hint="eastAsia" w:ascii="方正仿宋简体" w:hAnsi="方正仿宋简体" w:eastAsia="方正仿宋简体" w:cs="方正仿宋简体"/>
          <w:i w:val="0"/>
          <w:iCs w:val="0"/>
          <w:caps w:val="0"/>
          <w:color w:val="auto"/>
          <w:spacing w:val="0"/>
          <w:sz w:val="32"/>
          <w:szCs w:val="32"/>
        </w:rPr>
        <w:t>《中国人民银行、中国银行业监督管理委员会、中国</w:t>
      </w:r>
      <w:r>
        <w:rPr>
          <w:rFonts w:hint="eastAsia" w:ascii="方正仿宋简体" w:hAnsi="方正仿宋简体" w:eastAsia="方正仿宋简体" w:cs="方正仿宋简体"/>
          <w:i w:val="0"/>
          <w:iCs w:val="0"/>
          <w:caps w:val="0"/>
          <w:color w:val="auto"/>
          <w:spacing w:val="0"/>
          <w:sz w:val="32"/>
          <w:szCs w:val="32"/>
          <w:lang w:val="en-US" w:eastAsia="zh-CN"/>
        </w:rPr>
        <w:t>保</w:t>
      </w:r>
    </w:p>
    <w:p w14:paraId="4FC19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简体" w:hAnsi="方正仿宋简体" w:eastAsia="方正仿宋简体" w:cs="方正仿宋简体"/>
          <w:i w:val="0"/>
          <w:iCs w:val="0"/>
          <w:caps w:val="0"/>
          <w:color w:val="auto"/>
          <w:spacing w:val="0"/>
          <w:sz w:val="32"/>
          <w:szCs w:val="32"/>
          <w:lang w:eastAsia="zh-CN"/>
        </w:rPr>
      </w:pPr>
      <w:r>
        <w:rPr>
          <w:rFonts w:hint="eastAsia" w:ascii="方正仿宋简体" w:hAnsi="方正仿宋简体" w:eastAsia="方正仿宋简体" w:cs="方正仿宋简体"/>
          <w:i w:val="0"/>
          <w:iCs w:val="0"/>
          <w:caps w:val="0"/>
          <w:color w:val="auto"/>
          <w:spacing w:val="0"/>
          <w:sz w:val="32"/>
          <w:szCs w:val="32"/>
        </w:rPr>
        <w:t>险监督管理委员会、财政部、农业部关于印发&lt;农村承包土地的经营权抵押贷款试点暂行办法&gt;的通知》（银发〔2016〕79号）</w:t>
      </w:r>
      <w:r>
        <w:rPr>
          <w:rFonts w:hint="eastAsia" w:ascii="方正仿宋简体" w:hAnsi="方正仿宋简体" w:eastAsia="方正仿宋简体" w:cs="方正仿宋简体"/>
          <w:i w:val="0"/>
          <w:iCs w:val="0"/>
          <w:caps w:val="0"/>
          <w:color w:val="auto"/>
          <w:spacing w:val="0"/>
          <w:sz w:val="32"/>
          <w:szCs w:val="32"/>
          <w:lang w:eastAsia="zh-CN"/>
        </w:rPr>
        <w:t>；</w:t>
      </w:r>
    </w:p>
    <w:p w14:paraId="4C9981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left"/>
        <w:textAlignment w:val="auto"/>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pP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t>7.《新疆维吾尔自治区人民政府办公厅关于印 发2015年自治区农村土地承包经营权确权登记颁证整县推进试点工作实施方案的通知》 新政办发</w:t>
      </w:r>
      <w:r>
        <w:rPr>
          <w:rStyle w:val="9"/>
          <w:rFonts w:hint="eastAsia" w:ascii="方正仿宋简体" w:hAnsi="方正仿宋简体" w:eastAsia="方正仿宋简体" w:cs="方正仿宋简体"/>
          <w:b w:val="0"/>
          <w:bCs w:val="0"/>
          <w:i w:val="0"/>
          <w:iCs w:val="0"/>
          <w:caps w:val="0"/>
          <w:color w:val="auto"/>
          <w:spacing w:val="0"/>
          <w:sz w:val="32"/>
          <w:szCs w:val="32"/>
        </w:rPr>
        <w:t>〔201</w:t>
      </w:r>
      <w:r>
        <w:rPr>
          <w:rStyle w:val="9"/>
          <w:rFonts w:hint="eastAsia" w:ascii="方正仿宋简体" w:hAnsi="方正仿宋简体" w:eastAsia="方正仿宋简体" w:cs="方正仿宋简体"/>
          <w:b w:val="0"/>
          <w:bCs w:val="0"/>
          <w:i w:val="0"/>
          <w:iCs w:val="0"/>
          <w:caps w:val="0"/>
          <w:color w:val="auto"/>
          <w:spacing w:val="0"/>
          <w:sz w:val="32"/>
          <w:szCs w:val="32"/>
          <w:lang w:val="en-US" w:eastAsia="zh-CN"/>
        </w:rPr>
        <w:t>5</w:t>
      </w:r>
      <w:r>
        <w:rPr>
          <w:rStyle w:val="9"/>
          <w:rFonts w:hint="eastAsia" w:ascii="方正仿宋简体" w:hAnsi="方正仿宋简体" w:eastAsia="方正仿宋简体" w:cs="方正仿宋简体"/>
          <w:b w:val="0"/>
          <w:bCs w:val="0"/>
          <w:i w:val="0"/>
          <w:iCs w:val="0"/>
          <w:caps w:val="0"/>
          <w:color w:val="auto"/>
          <w:spacing w:val="0"/>
          <w:sz w:val="32"/>
          <w:szCs w:val="32"/>
        </w:rPr>
        <w:t>〕</w:t>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t>35号；</w:t>
      </w:r>
    </w:p>
    <w:p w14:paraId="71BF645D">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方正仿宋简体" w:hAnsi="方正仿宋简体" w:eastAsia="方正仿宋简体" w:cs="方正仿宋简体"/>
          <w:b w:val="0"/>
          <w:bCs w:val="0"/>
          <w:i w:val="0"/>
          <w:iCs w:val="0"/>
          <w:caps w:val="0"/>
          <w:color w:val="auto"/>
          <w:spacing w:val="0"/>
          <w:kern w:val="0"/>
          <w:sz w:val="32"/>
          <w:szCs w:val="32"/>
          <w:lang w:val="en-US" w:eastAsia="zh-CN" w:bidi="ar"/>
        </w:rPr>
      </w:pP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t>8.《关于印发2016年和田地区</w:t>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fldChar w:fldCharType="begin"/>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instrText xml:space="preserve"> HYPERLINK "https://m.tuliu.com/tags/37.html" </w:instrText>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fldChar w:fldCharType="separate"/>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t>农村土地</w:t>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fldChar w:fldCharType="end"/>
      </w:r>
      <w:r>
        <w:rPr>
          <w:rFonts w:hint="eastAsia" w:ascii="方正仿宋简体" w:hAnsi="方正仿宋简体" w:eastAsia="方正仿宋简体" w:cs="方正仿宋简体"/>
          <w:b w:val="0"/>
          <w:bCs w:val="0"/>
          <w:i w:val="0"/>
          <w:iCs w:val="0"/>
          <w:caps w:val="0"/>
          <w:color w:val="auto"/>
          <w:spacing w:val="0"/>
          <w:kern w:val="0"/>
          <w:sz w:val="32"/>
          <w:szCs w:val="32"/>
          <w:lang w:val="en-US" w:eastAsia="zh-CN" w:bidi="ar"/>
        </w:rPr>
        <w:t>承包经营权确权登记颁证整县推进试点工作实施方案的通知》和行办发〔2016〕53号。</w:t>
      </w:r>
    </w:p>
    <w:p w14:paraId="11F1CD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i w:val="0"/>
          <w:iCs w:val="0"/>
          <w:caps w:val="0"/>
          <w:color w:val="auto"/>
          <w:spacing w:val="0"/>
          <w:sz w:val="32"/>
          <w:szCs w:val="32"/>
          <w:lang w:val="en-US" w:eastAsia="zh-CN"/>
        </w:rPr>
        <w:t>三</w:t>
      </w:r>
      <w:r>
        <w:rPr>
          <w:rFonts w:hint="eastAsia" w:ascii="方正黑体简体" w:hAnsi="方正黑体简体" w:eastAsia="方正黑体简体" w:cs="方正黑体简体"/>
          <w:i w:val="0"/>
          <w:iCs w:val="0"/>
          <w:caps w:val="0"/>
          <w:color w:val="auto"/>
          <w:spacing w:val="0"/>
          <w:sz w:val="32"/>
          <w:szCs w:val="32"/>
        </w:rPr>
        <w:t>、</w:t>
      </w:r>
      <w:r>
        <w:rPr>
          <w:rFonts w:hint="eastAsia" w:ascii="方正黑体简体" w:hAnsi="方正黑体简体" w:eastAsia="方正黑体简体" w:cs="方正黑体简体"/>
          <w:i w:val="0"/>
          <w:iCs w:val="0"/>
          <w:caps w:val="0"/>
          <w:color w:val="auto"/>
          <w:spacing w:val="0"/>
          <w:sz w:val="32"/>
          <w:szCs w:val="32"/>
          <w:lang w:val="en-US" w:eastAsia="zh-CN"/>
        </w:rPr>
        <w:t>制定</w:t>
      </w:r>
      <w:r>
        <w:rPr>
          <w:rFonts w:hint="eastAsia" w:ascii="方正黑体简体" w:hAnsi="方正黑体简体" w:eastAsia="方正黑体简体" w:cs="方正黑体简体"/>
          <w:i w:val="0"/>
          <w:iCs w:val="0"/>
          <w:caps w:val="0"/>
          <w:color w:val="auto"/>
          <w:spacing w:val="0"/>
          <w:sz w:val="32"/>
          <w:szCs w:val="32"/>
        </w:rPr>
        <w:t>经过</w:t>
      </w:r>
    </w:p>
    <w:p w14:paraId="6F06C1AF">
      <w:pPr>
        <w:keepNext w:val="0"/>
        <w:keepLines w:val="0"/>
        <w:pageBreakBefore w:val="0"/>
        <w:widowControl w:val="0"/>
        <w:kinsoku/>
        <w:wordWrap/>
        <w:overflowPunct/>
        <w:topLinePunct w:val="0"/>
        <w:autoSpaceDE/>
        <w:autoSpaceDN/>
        <w:bidi w:val="0"/>
        <w:adjustRightInd/>
        <w:snapToGrid w:val="0"/>
        <w:spacing w:line="560" w:lineRule="exact"/>
        <w:ind w:right="0" w:rightChars="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rPr>
        <w:t>（一）</w:t>
      </w:r>
      <w:r>
        <w:rPr>
          <w:rFonts w:hint="eastAsia" w:ascii="方正仿宋简体" w:hAnsi="方正仿宋简体" w:eastAsia="方正仿宋简体" w:cs="方正仿宋简体"/>
          <w:i w:val="0"/>
          <w:iCs w:val="0"/>
          <w:caps w:val="0"/>
          <w:color w:val="auto"/>
          <w:spacing w:val="0"/>
          <w:sz w:val="32"/>
          <w:szCs w:val="32"/>
          <w:lang w:val="en-US" w:eastAsia="zh-CN"/>
        </w:rPr>
        <w:t>为进一步推进</w:t>
      </w:r>
      <w:r>
        <w:rPr>
          <w:rFonts w:hint="eastAsia" w:ascii="方正仿宋简体" w:hAnsi="方正仿宋简体" w:eastAsia="方正仿宋简体" w:cs="方正仿宋简体"/>
          <w:b w:val="0"/>
          <w:bCs w:val="0"/>
          <w:color w:val="auto"/>
          <w:sz w:val="32"/>
          <w:szCs w:val="32"/>
        </w:rPr>
        <w:t>农村土地集约化、规模化经营，</w:t>
      </w:r>
      <w:r>
        <w:rPr>
          <w:rFonts w:hint="eastAsia" w:ascii="方正仿宋简体" w:hAnsi="方正仿宋简体" w:eastAsia="方正仿宋简体" w:cs="方正仿宋简体"/>
          <w:b w:val="0"/>
          <w:bCs w:val="0"/>
          <w:color w:val="auto"/>
          <w:sz w:val="32"/>
          <w:szCs w:val="32"/>
          <w:lang w:eastAsia="zh-CN"/>
        </w:rPr>
        <w:t>提升农村农业资本投入水平</w:t>
      </w:r>
      <w:r>
        <w:rPr>
          <w:rFonts w:hint="eastAsia" w:ascii="方正仿宋简体" w:hAnsi="方正仿宋简体" w:eastAsia="方正仿宋简体" w:cs="方正仿宋简体"/>
          <w:b w:val="0"/>
          <w:bCs w:val="0"/>
          <w:color w:val="auto"/>
          <w:spacing w:val="0"/>
          <w:kern w:val="2"/>
          <w:sz w:val="32"/>
          <w:szCs w:val="32"/>
          <w:lang w:val="en-US" w:eastAsia="zh-CN" w:bidi="ar-SA"/>
        </w:rPr>
        <w:t>，由农业农村局牵头，于2022年8月5日组织县直财政、自然资源、供销、林草等行业部门负责同志以及农业产业化龙头企业、金融机构负责同志，并邀请律师和地区自然资源局、农业农村局业务人员就农村土地流转经营权登记颁证相关工作进行座谈论证，并达成一致拟定了《和田县农村土地承包经营权和地上附着物抵押贷款管理办法》，形成</w:t>
      </w:r>
      <w:bookmarkStart w:id="0" w:name="_GoBack"/>
      <w:bookmarkEnd w:id="0"/>
      <w:r>
        <w:rPr>
          <w:rFonts w:hint="eastAsia" w:ascii="方正仿宋简体" w:hAnsi="方正仿宋简体" w:eastAsia="方正仿宋简体" w:cs="方正仿宋简体"/>
          <w:i w:val="0"/>
          <w:iCs w:val="0"/>
          <w:caps w:val="0"/>
          <w:color w:val="auto"/>
          <w:spacing w:val="0"/>
          <w:sz w:val="32"/>
          <w:szCs w:val="32"/>
        </w:rPr>
        <w:t>征求意见稿。</w:t>
      </w:r>
    </w:p>
    <w:p w14:paraId="191F5F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b w:val="0"/>
          <w:bCs w:val="0"/>
          <w:i w:val="0"/>
          <w:iCs w:val="0"/>
          <w:caps w:val="0"/>
          <w:color w:val="auto"/>
          <w:spacing w:val="0"/>
          <w:sz w:val="32"/>
          <w:szCs w:val="32"/>
        </w:rPr>
        <w:t>（二）将征求意见稿书面向各</w:t>
      </w:r>
      <w:r>
        <w:rPr>
          <w:rFonts w:hint="eastAsia" w:ascii="方正仿宋简体" w:hAnsi="方正仿宋简体" w:eastAsia="方正仿宋简体" w:cs="方正仿宋简体"/>
          <w:b w:val="0"/>
          <w:bCs w:val="0"/>
          <w:i w:val="0"/>
          <w:iCs w:val="0"/>
          <w:caps w:val="0"/>
          <w:color w:val="auto"/>
          <w:spacing w:val="0"/>
          <w:sz w:val="32"/>
          <w:szCs w:val="32"/>
          <w:lang w:val="en-US" w:eastAsia="zh-CN"/>
        </w:rPr>
        <w:t>乡</w:t>
      </w:r>
      <w:r>
        <w:rPr>
          <w:rFonts w:hint="eastAsia" w:ascii="方正仿宋简体" w:hAnsi="方正仿宋简体" w:eastAsia="方正仿宋简体" w:cs="方正仿宋简体"/>
          <w:b w:val="0"/>
          <w:bCs w:val="0"/>
          <w:i w:val="0"/>
          <w:iCs w:val="0"/>
          <w:caps w:val="0"/>
          <w:color w:val="auto"/>
          <w:spacing w:val="0"/>
          <w:sz w:val="32"/>
          <w:szCs w:val="32"/>
        </w:rPr>
        <w:t>镇人民政府、相关部门征求意见建议，根据各</w:t>
      </w:r>
      <w:r>
        <w:rPr>
          <w:rFonts w:hint="eastAsia" w:ascii="方正仿宋简体" w:hAnsi="方正仿宋简体" w:eastAsia="方正仿宋简体" w:cs="方正仿宋简体"/>
          <w:b w:val="0"/>
          <w:bCs w:val="0"/>
          <w:i w:val="0"/>
          <w:iCs w:val="0"/>
          <w:caps w:val="0"/>
          <w:color w:val="auto"/>
          <w:spacing w:val="0"/>
          <w:sz w:val="32"/>
          <w:szCs w:val="32"/>
          <w:lang w:val="en-US" w:eastAsia="zh-CN"/>
        </w:rPr>
        <w:t>乡</w:t>
      </w:r>
      <w:r>
        <w:rPr>
          <w:rFonts w:hint="eastAsia" w:ascii="方正仿宋简体" w:hAnsi="方正仿宋简体" w:eastAsia="方正仿宋简体" w:cs="方正仿宋简体"/>
          <w:b w:val="0"/>
          <w:bCs w:val="0"/>
          <w:i w:val="0"/>
          <w:iCs w:val="0"/>
          <w:caps w:val="0"/>
          <w:color w:val="auto"/>
          <w:spacing w:val="0"/>
          <w:sz w:val="32"/>
          <w:szCs w:val="32"/>
        </w:rPr>
        <w:t>镇、</w:t>
      </w:r>
      <w:r>
        <w:rPr>
          <w:rFonts w:hint="eastAsia" w:ascii="方正仿宋简体" w:hAnsi="方正仿宋简体" w:eastAsia="方正仿宋简体" w:cs="方正仿宋简体"/>
          <w:b w:val="0"/>
          <w:bCs w:val="0"/>
          <w:i w:val="0"/>
          <w:iCs w:val="0"/>
          <w:caps w:val="0"/>
          <w:color w:val="auto"/>
          <w:spacing w:val="0"/>
          <w:sz w:val="32"/>
          <w:szCs w:val="32"/>
          <w:lang w:val="en-US" w:eastAsia="zh-CN"/>
        </w:rPr>
        <w:t>相关</w:t>
      </w:r>
      <w:r>
        <w:rPr>
          <w:rFonts w:hint="eastAsia" w:ascii="方正仿宋简体" w:hAnsi="方正仿宋简体" w:eastAsia="方正仿宋简体" w:cs="方正仿宋简体"/>
          <w:b w:val="0"/>
          <w:bCs w:val="0"/>
          <w:i w:val="0"/>
          <w:iCs w:val="0"/>
          <w:caps w:val="0"/>
          <w:color w:val="auto"/>
          <w:spacing w:val="0"/>
          <w:sz w:val="32"/>
          <w:szCs w:val="32"/>
        </w:rPr>
        <w:t>单位反馈的情况，对</w:t>
      </w:r>
      <w:r>
        <w:rPr>
          <w:rFonts w:hint="eastAsia" w:ascii="方正仿宋简体" w:hAnsi="方正仿宋简体" w:eastAsia="方正仿宋简体" w:cs="方正仿宋简体"/>
          <w:b w:val="0"/>
          <w:bCs w:val="0"/>
          <w:i w:val="0"/>
          <w:iCs w:val="0"/>
          <w:caps w:val="0"/>
          <w:color w:val="auto"/>
          <w:spacing w:val="0"/>
          <w:sz w:val="32"/>
          <w:szCs w:val="32"/>
          <w:lang w:val="en-US" w:eastAsia="zh-CN"/>
        </w:rPr>
        <w:t>四</w:t>
      </w:r>
      <w:r>
        <w:rPr>
          <w:rFonts w:hint="eastAsia" w:ascii="方正仿宋简体" w:hAnsi="方正仿宋简体" w:eastAsia="方正仿宋简体" w:cs="方正仿宋简体"/>
          <w:b w:val="0"/>
          <w:bCs w:val="0"/>
          <w:i w:val="0"/>
          <w:iCs w:val="0"/>
          <w:caps w:val="0"/>
          <w:color w:val="auto"/>
          <w:spacing w:val="0"/>
          <w:sz w:val="32"/>
          <w:szCs w:val="32"/>
        </w:rPr>
        <w:t>个办法相关内容条款进行了修改，形成修改送审稿。</w:t>
      </w:r>
    </w:p>
    <w:p w14:paraId="52CFB1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rPr>
        <w:t>（三）将修改送审稿报县司法局进行合法性审核，根据提出的具体修改意见，进一步修改完善，形成修改草案</w:t>
      </w:r>
      <w:r>
        <w:rPr>
          <w:rFonts w:hint="eastAsia" w:ascii="方正仿宋简体" w:hAnsi="方正仿宋简体" w:eastAsia="方正仿宋简体" w:cs="方正仿宋简体"/>
          <w:i w:val="0"/>
          <w:iCs w:val="0"/>
          <w:caps w:val="0"/>
          <w:color w:val="auto"/>
          <w:spacing w:val="0"/>
          <w:sz w:val="32"/>
          <w:szCs w:val="32"/>
          <w:lang w:eastAsia="zh-CN"/>
        </w:rPr>
        <w:t>。</w:t>
      </w:r>
      <w:r>
        <w:rPr>
          <w:rFonts w:hint="eastAsia" w:ascii="方正仿宋简体" w:hAnsi="方正仿宋简体" w:eastAsia="方正仿宋简体" w:cs="方正仿宋简体"/>
          <w:i w:val="0"/>
          <w:iCs w:val="0"/>
          <w:caps w:val="0"/>
          <w:color w:val="auto"/>
          <w:spacing w:val="0"/>
          <w:sz w:val="32"/>
          <w:szCs w:val="32"/>
        </w:rPr>
        <w:t>提交县政府常务会讨论通过后，印发实施。</w:t>
      </w:r>
    </w:p>
    <w:p w14:paraId="51FEB9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i w:val="0"/>
          <w:iCs w:val="0"/>
          <w:caps w:val="0"/>
          <w:color w:val="auto"/>
          <w:spacing w:val="0"/>
          <w:sz w:val="32"/>
          <w:szCs w:val="32"/>
        </w:rPr>
        <w:t>四、主要内容</w:t>
      </w:r>
    </w:p>
    <w:p w14:paraId="0BFA61DE">
      <w:pPr>
        <w:keepNext w:val="0"/>
        <w:keepLines w:val="0"/>
        <w:pageBreakBefore w:val="0"/>
        <w:widowControl/>
        <w:shd w:val="clear" w:color="auto" w:fill="FFFFFF"/>
        <w:kinsoku/>
        <w:overflowPunct/>
        <w:topLinePunct w:val="0"/>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i w:val="0"/>
          <w:iCs w:val="0"/>
          <w:caps w:val="0"/>
          <w:color w:val="auto"/>
          <w:spacing w:val="0"/>
          <w:kern w:val="0"/>
          <w:sz w:val="32"/>
          <w:szCs w:val="32"/>
          <w:lang w:val="en-US" w:eastAsia="zh-CN" w:bidi="ar"/>
        </w:rPr>
      </w:pP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和田县农村土地承包经营权和地上附着物抵押贷款管理办法</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共七章二十四条。</w:t>
      </w:r>
      <w:r>
        <w:rPr>
          <w:rFonts w:hint="eastAsia" w:ascii="方正仿宋简体" w:hAnsi="方正仿宋简体" w:eastAsia="方正仿宋简体" w:cs="方正仿宋简体"/>
          <w:i w:val="0"/>
          <w:iCs w:val="0"/>
          <w:caps w:val="0"/>
          <w:color w:val="auto"/>
          <w:spacing w:val="0"/>
          <w:kern w:val="0"/>
          <w:sz w:val="32"/>
          <w:szCs w:val="32"/>
          <w:lang w:val="en-US" w:eastAsia="zh-CN" w:bidi="ar"/>
        </w:rPr>
        <w:t>第一章总则包含第一条至第九条，对发文依据、适用区域、</w:t>
      </w:r>
      <w:r>
        <w:rPr>
          <w:rFonts w:hint="eastAsia" w:ascii="方正仿宋简体" w:hAnsi="方正仿宋简体" w:eastAsia="方正仿宋简体" w:cs="方正仿宋简体"/>
          <w:color w:val="auto"/>
          <w:kern w:val="0"/>
          <w:sz w:val="32"/>
          <w:szCs w:val="32"/>
        </w:rPr>
        <w:t>抵押人</w:t>
      </w:r>
      <w:r>
        <w:rPr>
          <w:rFonts w:hint="eastAsia" w:ascii="方正仿宋简体" w:hAnsi="方正仿宋简体" w:eastAsia="方正仿宋简体" w:cs="方正仿宋简体"/>
          <w:color w:val="auto"/>
          <w:kern w:val="0"/>
          <w:sz w:val="32"/>
          <w:szCs w:val="32"/>
          <w:lang w:val="en-US" w:eastAsia="zh-CN"/>
        </w:rPr>
        <w:t>及</w:t>
      </w:r>
      <w:r>
        <w:rPr>
          <w:rFonts w:hint="eastAsia" w:ascii="方正仿宋简体" w:hAnsi="方正仿宋简体" w:eastAsia="方正仿宋简体" w:cs="方正仿宋简体"/>
          <w:color w:val="auto"/>
          <w:kern w:val="0"/>
          <w:sz w:val="32"/>
          <w:szCs w:val="32"/>
        </w:rPr>
        <w:t>抵押权人</w:t>
      </w:r>
      <w:r>
        <w:rPr>
          <w:rFonts w:hint="eastAsia" w:ascii="方正仿宋简体" w:hAnsi="方正仿宋简体" w:eastAsia="方正仿宋简体" w:cs="方正仿宋简体"/>
          <w:color w:val="auto"/>
          <w:kern w:val="0"/>
          <w:sz w:val="32"/>
          <w:szCs w:val="32"/>
          <w:lang w:val="en-US" w:eastAsia="zh-CN"/>
        </w:rPr>
        <w:t>定义、</w:t>
      </w:r>
      <w:r>
        <w:rPr>
          <w:rFonts w:hint="eastAsia" w:ascii="方正仿宋简体" w:hAnsi="方正仿宋简体" w:eastAsia="方正仿宋简体" w:cs="方正仿宋简体"/>
          <w:color w:val="auto"/>
          <w:kern w:val="0"/>
          <w:sz w:val="32"/>
          <w:szCs w:val="32"/>
        </w:rPr>
        <w:t>农村土地承包经营权和地上附着物抵押贷款</w:t>
      </w:r>
      <w:r>
        <w:rPr>
          <w:rFonts w:hint="eastAsia" w:ascii="方正仿宋简体" w:hAnsi="方正仿宋简体" w:eastAsia="方正仿宋简体" w:cs="方正仿宋简体"/>
          <w:color w:val="auto"/>
          <w:kern w:val="0"/>
          <w:sz w:val="32"/>
          <w:szCs w:val="32"/>
          <w:lang w:val="en-US" w:eastAsia="zh-CN"/>
        </w:rPr>
        <w:t>定义、</w:t>
      </w:r>
      <w:r>
        <w:rPr>
          <w:rFonts w:hint="eastAsia" w:ascii="方正仿宋简体" w:hAnsi="方正仿宋简体" w:eastAsia="方正仿宋简体" w:cs="方正仿宋简体"/>
          <w:color w:val="auto"/>
          <w:kern w:val="0"/>
          <w:sz w:val="32"/>
          <w:szCs w:val="32"/>
        </w:rPr>
        <w:t>押贷款发放</w:t>
      </w:r>
      <w:r>
        <w:rPr>
          <w:rFonts w:hint="eastAsia" w:ascii="方正仿宋简体" w:hAnsi="方正仿宋简体" w:eastAsia="方正仿宋简体" w:cs="方正仿宋简体"/>
          <w:color w:val="auto"/>
          <w:kern w:val="0"/>
          <w:sz w:val="32"/>
          <w:szCs w:val="32"/>
          <w:lang w:val="en-US" w:eastAsia="zh-CN"/>
        </w:rPr>
        <w:t>原则、</w:t>
      </w:r>
      <w:r>
        <w:rPr>
          <w:rFonts w:hint="eastAsia" w:ascii="方正仿宋简体" w:hAnsi="方正仿宋简体" w:eastAsia="方正仿宋简体" w:cs="方正仿宋简体"/>
          <w:color w:val="auto"/>
          <w:kern w:val="0"/>
          <w:sz w:val="32"/>
          <w:szCs w:val="32"/>
        </w:rPr>
        <w:t>贷款对象</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抵押人</w:t>
      </w:r>
      <w:r>
        <w:rPr>
          <w:rFonts w:hint="eastAsia" w:ascii="方正仿宋简体" w:hAnsi="方正仿宋简体" w:eastAsia="方正仿宋简体" w:cs="方正仿宋简体"/>
          <w:color w:val="auto"/>
          <w:kern w:val="0"/>
          <w:sz w:val="32"/>
          <w:szCs w:val="32"/>
          <w:lang w:val="en-US" w:eastAsia="zh-CN"/>
        </w:rPr>
        <w:t>应具备条件、</w:t>
      </w:r>
      <w:r>
        <w:rPr>
          <w:rFonts w:hint="eastAsia" w:ascii="方正仿宋简体" w:hAnsi="方正仿宋简体" w:eastAsia="方正仿宋简体" w:cs="方正仿宋简体"/>
          <w:color w:val="auto"/>
          <w:kern w:val="0"/>
          <w:sz w:val="32"/>
          <w:szCs w:val="32"/>
        </w:rPr>
        <w:t>不得设定抵押</w:t>
      </w:r>
      <w:r>
        <w:rPr>
          <w:rFonts w:hint="eastAsia" w:ascii="方正仿宋简体" w:hAnsi="方正仿宋简体" w:eastAsia="方正仿宋简体" w:cs="方正仿宋简体"/>
          <w:color w:val="auto"/>
          <w:kern w:val="0"/>
          <w:sz w:val="32"/>
          <w:szCs w:val="32"/>
          <w:lang w:val="en-US" w:eastAsia="zh-CN"/>
        </w:rPr>
        <w:t>的情形进行了明确；</w:t>
      </w:r>
      <w:r>
        <w:rPr>
          <w:rFonts w:hint="eastAsia" w:ascii="方正仿宋简体" w:hAnsi="方正仿宋简体" w:eastAsia="方正仿宋简体" w:cs="方正仿宋简体"/>
          <w:i w:val="0"/>
          <w:iCs w:val="0"/>
          <w:caps w:val="0"/>
          <w:color w:val="auto"/>
          <w:spacing w:val="0"/>
          <w:kern w:val="0"/>
          <w:sz w:val="32"/>
          <w:szCs w:val="32"/>
          <w:lang w:val="en-US" w:eastAsia="zh-CN" w:bidi="ar"/>
        </w:rPr>
        <w:t>第二章</w:t>
      </w:r>
      <w:r>
        <w:rPr>
          <w:rFonts w:hint="eastAsia" w:ascii="方正仿宋简体" w:hAnsi="方正仿宋简体" w:eastAsia="方正仿宋简体" w:cs="方正仿宋简体"/>
          <w:color w:val="auto"/>
          <w:kern w:val="0"/>
          <w:sz w:val="32"/>
          <w:szCs w:val="32"/>
        </w:rPr>
        <w:t>抵押登记</w:t>
      </w:r>
      <w:r>
        <w:rPr>
          <w:rFonts w:hint="eastAsia" w:ascii="方正仿宋简体" w:hAnsi="方正仿宋简体" w:eastAsia="方正仿宋简体" w:cs="方正仿宋简体"/>
          <w:i w:val="0"/>
          <w:iCs w:val="0"/>
          <w:caps w:val="0"/>
          <w:color w:val="auto"/>
          <w:spacing w:val="0"/>
          <w:kern w:val="0"/>
          <w:sz w:val="32"/>
          <w:szCs w:val="32"/>
          <w:lang w:val="en-US" w:eastAsia="zh-CN" w:bidi="ar"/>
        </w:rPr>
        <w:t>包含第十条至第十二条，对</w:t>
      </w:r>
      <w:r>
        <w:rPr>
          <w:rFonts w:hint="eastAsia" w:ascii="方正仿宋简体" w:hAnsi="方正仿宋简体" w:eastAsia="方正仿宋简体" w:cs="方正仿宋简体"/>
          <w:color w:val="auto"/>
          <w:kern w:val="0"/>
          <w:sz w:val="32"/>
          <w:szCs w:val="32"/>
        </w:rPr>
        <w:t>抵押</w:t>
      </w:r>
      <w:r>
        <w:rPr>
          <w:rFonts w:hint="eastAsia" w:ascii="方正仿宋简体" w:hAnsi="方正仿宋简体" w:eastAsia="方正仿宋简体" w:cs="方正仿宋简体"/>
          <w:color w:val="auto"/>
          <w:kern w:val="0"/>
          <w:sz w:val="32"/>
          <w:szCs w:val="32"/>
          <w:lang w:val="en-US" w:eastAsia="zh-CN"/>
        </w:rPr>
        <w:t>登记部门、贷款发放部门、</w:t>
      </w:r>
      <w:r>
        <w:rPr>
          <w:rFonts w:hint="eastAsia" w:ascii="方正仿宋简体" w:hAnsi="方正仿宋简体" w:eastAsia="方正仿宋简体" w:cs="方正仿宋简体"/>
          <w:color w:val="auto"/>
          <w:kern w:val="0"/>
          <w:sz w:val="32"/>
          <w:szCs w:val="32"/>
        </w:rPr>
        <w:t>抵押人在抵押期间或抵押期届满要求变更或注销抵押登记</w:t>
      </w:r>
      <w:r>
        <w:rPr>
          <w:rFonts w:hint="eastAsia" w:ascii="方正仿宋简体" w:hAnsi="方正仿宋简体" w:eastAsia="方正仿宋简体" w:cs="方正仿宋简体"/>
          <w:color w:val="auto"/>
          <w:kern w:val="0"/>
          <w:sz w:val="32"/>
          <w:szCs w:val="32"/>
          <w:lang w:val="en-US" w:eastAsia="zh-CN"/>
        </w:rPr>
        <w:t>需提供的材料；</w:t>
      </w:r>
      <w:r>
        <w:rPr>
          <w:rFonts w:hint="eastAsia" w:ascii="方正仿宋简体" w:hAnsi="方正仿宋简体" w:eastAsia="方正仿宋简体" w:cs="方正仿宋简体"/>
          <w:color w:val="auto"/>
          <w:kern w:val="0"/>
          <w:sz w:val="32"/>
          <w:szCs w:val="32"/>
        </w:rPr>
        <w:t>第三章贷款办理</w:t>
      </w:r>
      <w:r>
        <w:rPr>
          <w:rFonts w:hint="eastAsia" w:ascii="方正仿宋简体" w:hAnsi="方正仿宋简体" w:eastAsia="方正仿宋简体" w:cs="方正仿宋简体"/>
          <w:color w:val="auto"/>
          <w:kern w:val="0"/>
          <w:sz w:val="32"/>
          <w:szCs w:val="32"/>
          <w:lang w:val="en-US" w:eastAsia="zh-CN"/>
        </w:rPr>
        <w:t>包含第十三条至第十四条，对</w:t>
      </w:r>
      <w:r>
        <w:rPr>
          <w:rFonts w:hint="eastAsia" w:ascii="方正仿宋简体" w:hAnsi="方正仿宋简体" w:eastAsia="方正仿宋简体" w:cs="方正仿宋简体"/>
          <w:color w:val="auto"/>
          <w:kern w:val="0"/>
          <w:sz w:val="32"/>
          <w:szCs w:val="32"/>
        </w:rPr>
        <w:t>借款人申请贷款</w:t>
      </w:r>
      <w:r>
        <w:rPr>
          <w:rFonts w:hint="eastAsia" w:ascii="方正仿宋简体" w:hAnsi="方正仿宋简体" w:eastAsia="方正仿宋简体" w:cs="方正仿宋简体"/>
          <w:color w:val="auto"/>
          <w:kern w:val="0"/>
          <w:sz w:val="32"/>
          <w:szCs w:val="32"/>
          <w:lang w:val="en-US" w:eastAsia="zh-CN"/>
        </w:rPr>
        <w:t>需符合条件及所需材料、</w:t>
      </w:r>
      <w:r>
        <w:rPr>
          <w:rFonts w:hint="eastAsia" w:ascii="方正仿宋简体" w:hAnsi="方正仿宋简体" w:eastAsia="方正仿宋简体" w:cs="方正仿宋简体"/>
          <w:color w:val="auto"/>
          <w:kern w:val="0"/>
          <w:sz w:val="32"/>
          <w:szCs w:val="32"/>
        </w:rPr>
        <w:t>签订书面抵押合同</w:t>
      </w:r>
      <w:r>
        <w:rPr>
          <w:rFonts w:hint="eastAsia" w:ascii="方正仿宋简体" w:hAnsi="方正仿宋简体" w:eastAsia="方正仿宋简体" w:cs="方正仿宋简体"/>
          <w:color w:val="auto"/>
          <w:kern w:val="0"/>
          <w:sz w:val="32"/>
          <w:szCs w:val="32"/>
          <w:lang w:val="en-US" w:eastAsia="zh-CN"/>
        </w:rPr>
        <w:t>提出了要求；</w:t>
      </w:r>
      <w:r>
        <w:rPr>
          <w:rFonts w:hint="eastAsia" w:ascii="方正仿宋简体" w:hAnsi="方正仿宋简体" w:eastAsia="方正仿宋简体" w:cs="方正仿宋简体"/>
          <w:color w:val="auto"/>
          <w:kern w:val="0"/>
          <w:sz w:val="32"/>
          <w:szCs w:val="32"/>
        </w:rPr>
        <w:t>第四章抵押物价值及抵押率确定</w:t>
      </w:r>
      <w:r>
        <w:rPr>
          <w:rFonts w:hint="eastAsia" w:ascii="方正仿宋简体" w:hAnsi="方正仿宋简体" w:eastAsia="方正仿宋简体" w:cs="方正仿宋简体"/>
          <w:color w:val="auto"/>
          <w:kern w:val="0"/>
          <w:sz w:val="32"/>
          <w:szCs w:val="32"/>
          <w:lang w:val="en-US" w:eastAsia="zh-CN"/>
        </w:rPr>
        <w:t>包含第十五条至第十六条，对</w:t>
      </w:r>
      <w:r>
        <w:rPr>
          <w:rFonts w:hint="eastAsia" w:ascii="方正仿宋简体" w:hAnsi="方正仿宋简体" w:eastAsia="方正仿宋简体" w:cs="方正仿宋简体"/>
          <w:color w:val="auto"/>
          <w:kern w:val="0"/>
          <w:sz w:val="32"/>
          <w:szCs w:val="32"/>
        </w:rPr>
        <w:t>抵押物价值</w:t>
      </w:r>
      <w:r>
        <w:rPr>
          <w:rFonts w:hint="eastAsia" w:ascii="方正仿宋简体" w:hAnsi="方正仿宋简体" w:eastAsia="方正仿宋简体" w:cs="方正仿宋简体"/>
          <w:color w:val="auto"/>
          <w:kern w:val="0"/>
          <w:sz w:val="32"/>
          <w:szCs w:val="32"/>
          <w:lang w:val="en-US" w:eastAsia="zh-CN"/>
        </w:rPr>
        <w:t>评估、</w:t>
      </w:r>
      <w:r>
        <w:rPr>
          <w:rFonts w:hint="eastAsia" w:ascii="方正仿宋简体" w:hAnsi="方正仿宋简体" w:eastAsia="方正仿宋简体" w:cs="方正仿宋简体"/>
          <w:color w:val="auto"/>
          <w:kern w:val="0"/>
          <w:sz w:val="32"/>
          <w:szCs w:val="32"/>
        </w:rPr>
        <w:t>贷款额度</w:t>
      </w:r>
      <w:r>
        <w:rPr>
          <w:rFonts w:hint="eastAsia" w:ascii="方正仿宋简体" w:hAnsi="方正仿宋简体" w:eastAsia="方正仿宋简体" w:cs="方正仿宋简体"/>
          <w:color w:val="auto"/>
          <w:kern w:val="0"/>
          <w:sz w:val="32"/>
          <w:szCs w:val="32"/>
          <w:lang w:val="en-US" w:eastAsia="zh-CN"/>
        </w:rPr>
        <w:t>进行了说明</w:t>
      </w:r>
      <w:r>
        <w:rPr>
          <w:rFonts w:hint="eastAsia" w:ascii="方正仿宋简体" w:hAnsi="方正仿宋简体" w:eastAsia="方正仿宋简体" w:cs="方正仿宋简体"/>
          <w:color w:val="auto"/>
          <w:kern w:val="0"/>
          <w:sz w:val="32"/>
          <w:szCs w:val="32"/>
          <w:shd w:val="clear" w:color="auto" w:fill="FFFFFF"/>
          <w:lang w:val="en-US" w:eastAsia="zh-CN"/>
        </w:rPr>
        <w:t>；</w:t>
      </w:r>
      <w:r>
        <w:rPr>
          <w:rFonts w:hint="eastAsia" w:ascii="方正仿宋简体" w:hAnsi="方正仿宋简体" w:eastAsia="方正仿宋简体" w:cs="方正仿宋简体"/>
          <w:color w:val="auto"/>
          <w:kern w:val="0"/>
          <w:sz w:val="32"/>
          <w:szCs w:val="32"/>
        </w:rPr>
        <w:t>第五章贷后管理及风险监控</w:t>
      </w:r>
      <w:r>
        <w:rPr>
          <w:rFonts w:hint="eastAsia" w:ascii="方正仿宋简体" w:hAnsi="方正仿宋简体" w:eastAsia="方正仿宋简体" w:cs="方正仿宋简体"/>
          <w:color w:val="auto"/>
          <w:kern w:val="0"/>
          <w:sz w:val="32"/>
          <w:szCs w:val="32"/>
          <w:lang w:val="en-US" w:eastAsia="zh-CN"/>
        </w:rPr>
        <w:t>包含第十七条至第二十条，对</w:t>
      </w:r>
      <w:r>
        <w:rPr>
          <w:rFonts w:hint="eastAsia" w:ascii="方正仿宋简体" w:hAnsi="方正仿宋简体" w:eastAsia="方正仿宋简体" w:cs="方正仿宋简体"/>
          <w:color w:val="auto"/>
          <w:kern w:val="0"/>
          <w:sz w:val="32"/>
          <w:szCs w:val="32"/>
        </w:rPr>
        <w:t>贷后管理</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抵押档案</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建立风险预警制度和重大风险报告制度</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签订监管合作协议</w:t>
      </w:r>
      <w:r>
        <w:rPr>
          <w:rFonts w:hint="eastAsia" w:ascii="方正仿宋简体" w:hAnsi="方正仿宋简体" w:eastAsia="方正仿宋简体" w:cs="方正仿宋简体"/>
          <w:color w:val="auto"/>
          <w:kern w:val="0"/>
          <w:sz w:val="32"/>
          <w:szCs w:val="32"/>
          <w:lang w:val="en-US" w:eastAsia="zh-CN"/>
        </w:rPr>
        <w:t>提出了具体要求；</w:t>
      </w:r>
      <w:r>
        <w:rPr>
          <w:rFonts w:hint="eastAsia" w:ascii="方正仿宋简体" w:hAnsi="方正仿宋简体" w:eastAsia="方正仿宋简体" w:cs="方正仿宋简体"/>
          <w:color w:val="auto"/>
          <w:kern w:val="0"/>
          <w:sz w:val="32"/>
          <w:szCs w:val="32"/>
        </w:rPr>
        <w:t>第六章抵押物处置</w:t>
      </w:r>
      <w:r>
        <w:rPr>
          <w:rFonts w:hint="eastAsia" w:ascii="方正仿宋简体" w:hAnsi="方正仿宋简体" w:eastAsia="方正仿宋简体" w:cs="方正仿宋简体"/>
          <w:color w:val="auto"/>
          <w:kern w:val="0"/>
          <w:sz w:val="32"/>
          <w:szCs w:val="32"/>
          <w:lang w:val="en-US" w:eastAsia="zh-CN"/>
        </w:rPr>
        <w:t>包含第二十一条，对</w:t>
      </w:r>
      <w:r>
        <w:rPr>
          <w:rFonts w:hint="eastAsia" w:ascii="方正仿宋简体" w:hAnsi="方正仿宋简体" w:eastAsia="方正仿宋简体" w:cs="方正仿宋简体"/>
          <w:color w:val="auto"/>
          <w:kern w:val="0"/>
          <w:sz w:val="32"/>
          <w:szCs w:val="32"/>
        </w:rPr>
        <w:t>抵押物处置</w:t>
      </w:r>
      <w:r>
        <w:rPr>
          <w:rFonts w:hint="eastAsia" w:ascii="方正仿宋简体" w:hAnsi="方正仿宋简体" w:eastAsia="方正仿宋简体" w:cs="方正仿宋简体"/>
          <w:color w:val="auto"/>
          <w:kern w:val="0"/>
          <w:sz w:val="32"/>
          <w:szCs w:val="32"/>
          <w:lang w:val="en-US" w:eastAsia="zh-CN"/>
        </w:rPr>
        <w:t>处置措施作了具体说明；</w:t>
      </w:r>
      <w:r>
        <w:rPr>
          <w:rFonts w:hint="eastAsia" w:ascii="方正仿宋简体" w:hAnsi="方正仿宋简体" w:eastAsia="方正仿宋简体" w:cs="方正仿宋简体"/>
          <w:color w:val="auto"/>
          <w:kern w:val="0"/>
          <w:sz w:val="32"/>
          <w:szCs w:val="32"/>
        </w:rPr>
        <w:t>第七章附则</w:t>
      </w:r>
      <w:r>
        <w:rPr>
          <w:rFonts w:hint="eastAsia" w:ascii="方正仿宋简体" w:hAnsi="方正仿宋简体" w:eastAsia="方正仿宋简体" w:cs="方正仿宋简体"/>
          <w:color w:val="auto"/>
          <w:kern w:val="0"/>
          <w:sz w:val="32"/>
          <w:szCs w:val="32"/>
          <w:lang w:val="en-US" w:eastAsia="zh-CN"/>
        </w:rPr>
        <w:t>包含第二十二条至第二十四条，对</w:t>
      </w:r>
      <w:r>
        <w:rPr>
          <w:rFonts w:hint="eastAsia" w:ascii="方正仿宋简体" w:hAnsi="方正仿宋简体" w:eastAsia="方正仿宋简体" w:cs="方正仿宋简体"/>
          <w:color w:val="auto"/>
          <w:kern w:val="0"/>
          <w:sz w:val="32"/>
          <w:szCs w:val="32"/>
        </w:rPr>
        <w:t>各银行业金融机构和政府控股、参股的融资担保机构可根据本办法制定贷款操作办法或实施细则</w:t>
      </w:r>
      <w:r>
        <w:rPr>
          <w:rFonts w:hint="eastAsia" w:ascii="方正仿宋简体" w:hAnsi="方正仿宋简体" w:eastAsia="方正仿宋简体" w:cs="方正仿宋简体"/>
          <w:color w:val="auto"/>
          <w:kern w:val="0"/>
          <w:sz w:val="32"/>
          <w:szCs w:val="32"/>
          <w:lang w:val="en-US" w:eastAsia="zh-CN"/>
        </w:rPr>
        <w:t>、未尽事宜及施行时间进行了说明。</w:t>
      </w:r>
    </w:p>
    <w:p w14:paraId="79692FD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简体" w:hAnsi="方正仿宋简体" w:eastAsia="方正仿宋简体" w:cs="方正仿宋简体"/>
          <w:color w:val="auto"/>
          <w:sz w:val="32"/>
          <w:szCs w:val="32"/>
        </w:rPr>
      </w:pPr>
    </w:p>
    <w:p w14:paraId="7F534B3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w:t>
      </w:r>
    </w:p>
    <w:p w14:paraId="7172984C">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和田县农业农村局</w:t>
      </w:r>
    </w:p>
    <w:p w14:paraId="125BED7E">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方正小标宋简体" w:eastAsia="方正小标宋简体"/>
          <w:color w:val="auto"/>
          <w:spacing w:val="-22"/>
          <w:sz w:val="52"/>
          <w:szCs w:val="52"/>
          <w:lang w:val="en-US" w:eastAsia="zh-CN"/>
        </w:rPr>
      </w:pPr>
      <w:r>
        <w:rPr>
          <w:rFonts w:hint="eastAsia" w:ascii="方正仿宋简体" w:hAnsi="方正仿宋简体" w:eastAsia="方正仿宋简体" w:cs="方正仿宋简体"/>
          <w:color w:val="auto"/>
          <w:sz w:val="32"/>
          <w:szCs w:val="32"/>
          <w:lang w:val="en-US" w:eastAsia="zh-CN"/>
        </w:rPr>
        <w:t xml:space="preserve">                         2022年8月22日</w:t>
      </w:r>
    </w:p>
    <w:sectPr>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3881">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D88F9">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9D88F9">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10590">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D10590">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99F8C">
                          <w:pPr>
                            <w:pStyle w:val="4"/>
                            <w:rPr>
                              <w:rFonts w:hint="eastAsia" w:asciiTheme="minorEastAsia" w:hAnsiTheme="minorEastAsia" w:eastAsiaTheme="minorEastAsia" w:cstheme="min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F99F8C">
                    <w:pPr>
                      <w:pStyle w:val="4"/>
                      <w:rPr>
                        <w:rFonts w:hint="eastAsia" w:asciiTheme="minorEastAsia" w:hAnsiTheme="minorEastAsia" w:eastAsiaTheme="minorEastAsia" w:cstheme="minorEastAsia"/>
                        <w:sz w:val="28"/>
                        <w:szCs w:val="28"/>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8860">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BA42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2BA42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NDkxNTJjZjBlNDllZTUzOTg0ZGU5YWUxNWRhY2QifQ=="/>
  </w:docVars>
  <w:rsids>
    <w:rsidRoot w:val="00000000"/>
    <w:rsid w:val="0334789D"/>
    <w:rsid w:val="0434769C"/>
    <w:rsid w:val="05351E6A"/>
    <w:rsid w:val="06680D11"/>
    <w:rsid w:val="07500A1D"/>
    <w:rsid w:val="08201173"/>
    <w:rsid w:val="08402B15"/>
    <w:rsid w:val="08A5351F"/>
    <w:rsid w:val="08CE0793"/>
    <w:rsid w:val="09735715"/>
    <w:rsid w:val="09BE4364"/>
    <w:rsid w:val="09E75075"/>
    <w:rsid w:val="0AA85269"/>
    <w:rsid w:val="0BCD6AE0"/>
    <w:rsid w:val="0BE502CE"/>
    <w:rsid w:val="0C7E7F5C"/>
    <w:rsid w:val="0D5FF2CD"/>
    <w:rsid w:val="0FCB3415"/>
    <w:rsid w:val="110C0BBA"/>
    <w:rsid w:val="117B1A21"/>
    <w:rsid w:val="12D50DEA"/>
    <w:rsid w:val="15997A33"/>
    <w:rsid w:val="19BC4BEE"/>
    <w:rsid w:val="1A0F0DB5"/>
    <w:rsid w:val="1D7E7C3A"/>
    <w:rsid w:val="1DC41596"/>
    <w:rsid w:val="1EDC0931"/>
    <w:rsid w:val="1EDFA6DE"/>
    <w:rsid w:val="1EEB0F4D"/>
    <w:rsid w:val="1FDE8AEA"/>
    <w:rsid w:val="23A87290"/>
    <w:rsid w:val="296C1098"/>
    <w:rsid w:val="29F44D83"/>
    <w:rsid w:val="2A780DA7"/>
    <w:rsid w:val="2B120544"/>
    <w:rsid w:val="2BC5293B"/>
    <w:rsid w:val="2BF86C77"/>
    <w:rsid w:val="2DDC3AED"/>
    <w:rsid w:val="2DF5282E"/>
    <w:rsid w:val="2EDF2A4E"/>
    <w:rsid w:val="2FFF2130"/>
    <w:rsid w:val="3182274E"/>
    <w:rsid w:val="32460A89"/>
    <w:rsid w:val="362CD587"/>
    <w:rsid w:val="377A66DC"/>
    <w:rsid w:val="378B123B"/>
    <w:rsid w:val="38145D11"/>
    <w:rsid w:val="38646D95"/>
    <w:rsid w:val="38C757B4"/>
    <w:rsid w:val="39311BAD"/>
    <w:rsid w:val="39C61AB8"/>
    <w:rsid w:val="3A3F3367"/>
    <w:rsid w:val="3AEA64B7"/>
    <w:rsid w:val="3B7B8B82"/>
    <w:rsid w:val="3BCE4D4D"/>
    <w:rsid w:val="3C1C08F2"/>
    <w:rsid w:val="3D430E91"/>
    <w:rsid w:val="3F6251B6"/>
    <w:rsid w:val="3FB00504"/>
    <w:rsid w:val="3FB35A12"/>
    <w:rsid w:val="401A339B"/>
    <w:rsid w:val="40E37C31"/>
    <w:rsid w:val="40E610CB"/>
    <w:rsid w:val="42220492"/>
    <w:rsid w:val="44E73A68"/>
    <w:rsid w:val="4635213E"/>
    <w:rsid w:val="4EAA634B"/>
    <w:rsid w:val="4F75D096"/>
    <w:rsid w:val="4FE83829"/>
    <w:rsid w:val="50B70C53"/>
    <w:rsid w:val="50F32112"/>
    <w:rsid w:val="511931FB"/>
    <w:rsid w:val="51736CB8"/>
    <w:rsid w:val="51B3078D"/>
    <w:rsid w:val="5223671A"/>
    <w:rsid w:val="52CA50F4"/>
    <w:rsid w:val="52EE5EF2"/>
    <w:rsid w:val="54036AE1"/>
    <w:rsid w:val="55986DE4"/>
    <w:rsid w:val="57544F8D"/>
    <w:rsid w:val="591326B2"/>
    <w:rsid w:val="591A5DA5"/>
    <w:rsid w:val="5A413124"/>
    <w:rsid w:val="5A637CBA"/>
    <w:rsid w:val="5CF1327E"/>
    <w:rsid w:val="5D9F2CDA"/>
    <w:rsid w:val="5EF3A8AA"/>
    <w:rsid w:val="5F666E32"/>
    <w:rsid w:val="5FDD92EC"/>
    <w:rsid w:val="603D2175"/>
    <w:rsid w:val="60C1494C"/>
    <w:rsid w:val="641B7C27"/>
    <w:rsid w:val="65F63BD4"/>
    <w:rsid w:val="66FE4144"/>
    <w:rsid w:val="673769B2"/>
    <w:rsid w:val="67A80FC1"/>
    <w:rsid w:val="691C1682"/>
    <w:rsid w:val="69D05529"/>
    <w:rsid w:val="69E91EAC"/>
    <w:rsid w:val="69FB10EF"/>
    <w:rsid w:val="6ABE3B2D"/>
    <w:rsid w:val="6B7252E5"/>
    <w:rsid w:val="6BBFF4BF"/>
    <w:rsid w:val="6BE20961"/>
    <w:rsid w:val="6D867134"/>
    <w:rsid w:val="6F48197F"/>
    <w:rsid w:val="6FE860A9"/>
    <w:rsid w:val="6FFCCA69"/>
    <w:rsid w:val="707F0E75"/>
    <w:rsid w:val="70871AD7"/>
    <w:rsid w:val="71F15DA2"/>
    <w:rsid w:val="722F17E6"/>
    <w:rsid w:val="726C71D7"/>
    <w:rsid w:val="73520AC2"/>
    <w:rsid w:val="73FF6045"/>
    <w:rsid w:val="74905ACD"/>
    <w:rsid w:val="75BCE7D1"/>
    <w:rsid w:val="75BFE593"/>
    <w:rsid w:val="76DFBD66"/>
    <w:rsid w:val="79993610"/>
    <w:rsid w:val="7A2618F6"/>
    <w:rsid w:val="7A6C09E6"/>
    <w:rsid w:val="7BDE7E1D"/>
    <w:rsid w:val="7BEB34B6"/>
    <w:rsid w:val="7BF7F27D"/>
    <w:rsid w:val="7BFAC44B"/>
    <w:rsid w:val="7CED2639"/>
    <w:rsid w:val="7CF42C35"/>
    <w:rsid w:val="7DFAD03C"/>
    <w:rsid w:val="7EC39FAA"/>
    <w:rsid w:val="7ECB34D7"/>
    <w:rsid w:val="7FEE50CF"/>
    <w:rsid w:val="7FFC7AEB"/>
    <w:rsid w:val="7FFE05DB"/>
    <w:rsid w:val="98E70D9D"/>
    <w:rsid w:val="9DCF756B"/>
    <w:rsid w:val="9DFCDB6E"/>
    <w:rsid w:val="9F7D4062"/>
    <w:rsid w:val="9F7FAE44"/>
    <w:rsid w:val="A3ED94D5"/>
    <w:rsid w:val="A67D27EE"/>
    <w:rsid w:val="A9BFBB11"/>
    <w:rsid w:val="B5B61165"/>
    <w:rsid w:val="BBFF1F96"/>
    <w:rsid w:val="C5DFE405"/>
    <w:rsid w:val="D7E71694"/>
    <w:rsid w:val="D9DBF2DF"/>
    <w:rsid w:val="DB9CC4B4"/>
    <w:rsid w:val="DF35347E"/>
    <w:rsid w:val="E57E5B2D"/>
    <w:rsid w:val="E6BE10C0"/>
    <w:rsid w:val="EA6E1B7A"/>
    <w:rsid w:val="EDBEF483"/>
    <w:rsid w:val="EF9F3997"/>
    <w:rsid w:val="F4FC7098"/>
    <w:rsid w:val="F5F4867B"/>
    <w:rsid w:val="F7CDA172"/>
    <w:rsid w:val="F7D69873"/>
    <w:rsid w:val="F7FF8766"/>
    <w:rsid w:val="F9ED3543"/>
    <w:rsid w:val="F9FFA833"/>
    <w:rsid w:val="FA66CBB2"/>
    <w:rsid w:val="FB77FAB2"/>
    <w:rsid w:val="FBFB9EB5"/>
    <w:rsid w:val="FBFEC730"/>
    <w:rsid w:val="FD2C7859"/>
    <w:rsid w:val="FE7F5422"/>
    <w:rsid w:val="FF6F5B32"/>
    <w:rsid w:val="FFDFA3F6"/>
    <w:rsid w:val="FFFB7A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0"/>
    <w:pPr>
      <w:widowControl/>
      <w:ind w:left="1400" w:firstLine="1136"/>
      <w:outlineLvl w:val="2"/>
    </w:pPr>
    <w:rPr>
      <w:rFonts w:ascii="宋体" w:hAnsi="宋体" w:eastAsia="Times New Roman"/>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样式1"/>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1724</Words>
  <Characters>1770</Characters>
  <Lines>0</Lines>
  <Paragraphs>0</Paragraphs>
  <TotalTime>7</TotalTime>
  <ScaleCrop>false</ScaleCrop>
  <LinksUpToDate>false</LinksUpToDate>
  <CharactersWithSpaces>1838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2020-09-29T19:33:00Z</dcterms:created>
  <dc:creator>zhb01</dc:creator>
  <cp:lastModifiedBy>惠普</cp:lastModifiedBy>
  <cp:lastPrinted>2024-12-16T11:02:56Z</cp:lastPrinted>
  <dcterms:modified xsi:type="dcterms:W3CDTF">2024-12-16T11:04:55Z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DC5FC1D55E844FF69DBF05FE4C96AAAE</vt:lpwstr>
  </property>
</Properties>
</file>