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和田县英艾日克乡卫生院2024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4E453058">
      <w:r>
        <w:br w:type="page"/>
      </w:r>
    </w:p>
    <w:p w14:paraId="4E99E9E4">
      <w:pPr>
        <w:spacing w:line="640" w:lineRule="exact"/>
        <w:jc w:val="center"/>
        <w:outlineLvl w:val="1"/>
      </w:pPr>
      <w:r>
        <w:rPr>
          <w:rFonts w:ascii="黑体" w:hAnsi="黑体" w:eastAsia="黑体"/>
          <w:sz w:val="32"/>
        </w:rPr>
        <w:t>第一部分 单位概况</w:t>
      </w:r>
    </w:p>
    <w:p w14:paraId="2C903227">
      <w:pPr>
        <w:spacing w:line="640" w:lineRule="exact"/>
        <w:ind w:firstLine="640"/>
        <w:jc w:val="both"/>
        <w:outlineLvl w:val="2"/>
      </w:pPr>
      <w:r>
        <w:rPr>
          <w:rFonts w:ascii="黑体" w:hAnsi="黑体" w:eastAsia="黑体"/>
          <w:sz w:val="32"/>
        </w:rPr>
        <w:t>一、主要职能</w:t>
      </w:r>
    </w:p>
    <w:p w14:paraId="33A92648">
      <w:pPr>
        <w:spacing w:line="580" w:lineRule="exact"/>
        <w:ind w:firstLine="640"/>
        <w:jc w:val="both"/>
      </w:pPr>
      <w:r>
        <w:rPr>
          <w:rFonts w:hint="eastAsia" w:ascii="仿宋_GB2312" w:hAnsi="仿宋_GB2312" w:eastAsia="仿宋_GB2312"/>
          <w:sz w:val="32"/>
          <w:lang w:eastAsia="zh-CN"/>
        </w:rPr>
        <w:t>1.</w:t>
      </w:r>
      <w:r>
        <w:rPr>
          <w:rFonts w:ascii="仿宋_GB2312" w:hAnsi="仿宋_GB2312" w:eastAsia="仿宋_GB2312"/>
          <w:sz w:val="32"/>
        </w:rPr>
        <w:t>负责本单位的卫生工作法律、法规、政策的贯彻，卫生事业发展规划和工作计划的制定，社会公共卫生工作的组织和实施。</w:t>
      </w:r>
    </w:p>
    <w:p w14:paraId="1EC00EA5">
      <w:pPr>
        <w:spacing w:line="580" w:lineRule="exact"/>
        <w:ind w:firstLine="640"/>
        <w:jc w:val="both"/>
      </w:pPr>
      <w:r>
        <w:rPr>
          <w:rFonts w:hint="eastAsia" w:ascii="仿宋_GB2312" w:hAnsi="仿宋_GB2312" w:eastAsia="仿宋_GB2312"/>
          <w:sz w:val="32"/>
          <w:lang w:eastAsia="zh-CN"/>
        </w:rPr>
        <w:t>2.</w:t>
      </w:r>
      <w:r>
        <w:rPr>
          <w:rFonts w:ascii="仿宋_GB2312" w:hAnsi="仿宋_GB2312" w:eastAsia="仿宋_GB2312"/>
          <w:sz w:val="32"/>
        </w:rPr>
        <w:t>负责本单位的基本医疗服务。</w:t>
      </w:r>
    </w:p>
    <w:p w14:paraId="5D106F83">
      <w:pPr>
        <w:spacing w:line="580" w:lineRule="exact"/>
        <w:ind w:firstLine="640"/>
        <w:jc w:val="both"/>
      </w:pPr>
      <w:r>
        <w:rPr>
          <w:rFonts w:hint="eastAsia" w:ascii="仿宋_GB2312" w:hAnsi="仿宋_GB2312" w:eastAsia="仿宋_GB2312"/>
          <w:sz w:val="32"/>
          <w:lang w:eastAsia="zh-CN"/>
        </w:rPr>
        <w:t>3.</w:t>
      </w:r>
      <w:r>
        <w:rPr>
          <w:rFonts w:ascii="仿宋_GB2312" w:hAnsi="仿宋_GB2312" w:eastAsia="仿宋_GB2312"/>
          <w:sz w:val="32"/>
        </w:rPr>
        <w:t>负责本单位突发公共卫生事件的报告，并依据上级部门要求组织实施处置。</w:t>
      </w:r>
    </w:p>
    <w:p w14:paraId="6082E2F1">
      <w:pPr>
        <w:spacing w:line="580" w:lineRule="exact"/>
        <w:ind w:firstLine="640"/>
        <w:jc w:val="both"/>
      </w:pPr>
      <w:r>
        <w:rPr>
          <w:rFonts w:hint="eastAsia" w:ascii="仿宋_GB2312" w:hAnsi="仿宋_GB2312" w:eastAsia="仿宋_GB2312"/>
          <w:sz w:val="32"/>
          <w:lang w:eastAsia="zh-CN"/>
        </w:rPr>
        <w:t>4.</w:t>
      </w:r>
      <w:r>
        <w:rPr>
          <w:rFonts w:ascii="仿宋_GB2312" w:hAnsi="仿宋_GB2312" w:eastAsia="仿宋_GB2312"/>
          <w:sz w:val="32"/>
        </w:rPr>
        <w:t>负责本单位辖区内的卫生信息统计、分析、上报。</w:t>
      </w:r>
    </w:p>
    <w:p w14:paraId="0188802F">
      <w:pPr>
        <w:spacing w:line="580" w:lineRule="exact"/>
        <w:ind w:firstLine="640"/>
        <w:jc w:val="both"/>
      </w:pPr>
      <w:r>
        <w:rPr>
          <w:rFonts w:hint="eastAsia" w:ascii="仿宋_GB2312" w:hAnsi="仿宋_GB2312" w:eastAsia="仿宋_GB2312"/>
          <w:sz w:val="32"/>
          <w:lang w:eastAsia="zh-CN"/>
        </w:rPr>
        <w:t>5.</w:t>
      </w:r>
      <w:r>
        <w:rPr>
          <w:rFonts w:ascii="仿宋_GB2312" w:hAnsi="仿宋_GB2312" w:eastAsia="仿宋_GB2312"/>
          <w:sz w:val="32"/>
        </w:rPr>
        <w:t>负责对本单位辖区内村级卫生组织和乡村医生的业务指导和培训。</w:t>
      </w:r>
    </w:p>
    <w:p w14:paraId="13A0697E">
      <w:pPr>
        <w:spacing w:line="580" w:lineRule="exact"/>
        <w:ind w:firstLine="640"/>
        <w:jc w:val="both"/>
      </w:pPr>
      <w:r>
        <w:rPr>
          <w:rFonts w:hint="eastAsia" w:ascii="仿宋_GB2312" w:hAnsi="仿宋_GB2312" w:eastAsia="仿宋_GB2312"/>
          <w:sz w:val="32"/>
          <w:lang w:eastAsia="zh-CN"/>
        </w:rPr>
        <w:t>6.</w:t>
      </w:r>
      <w:r>
        <w:rPr>
          <w:rFonts w:ascii="仿宋_GB2312" w:hAnsi="仿宋_GB2312" w:eastAsia="仿宋_GB2312"/>
          <w:sz w:val="32"/>
        </w:rPr>
        <w:t>负责承办政府卫生行政部门委托的相关业务或事项;负责上级卫生行政部门下达的其他工作。</w:t>
      </w:r>
    </w:p>
    <w:p w14:paraId="35C05324">
      <w:pPr>
        <w:spacing w:line="580" w:lineRule="exact"/>
        <w:ind w:firstLine="640"/>
        <w:jc w:val="both"/>
      </w:pPr>
      <w:r>
        <w:rPr>
          <w:rFonts w:hint="eastAsia" w:ascii="仿宋_GB2312" w:hAnsi="仿宋_GB2312" w:eastAsia="仿宋_GB2312"/>
          <w:sz w:val="32"/>
          <w:lang w:eastAsia="zh-CN"/>
        </w:rPr>
        <w:t>7.</w:t>
      </w:r>
      <w:r>
        <w:rPr>
          <w:rFonts w:ascii="仿宋_GB2312" w:hAnsi="仿宋_GB2312" w:eastAsia="仿宋_GB2312"/>
          <w:sz w:val="32"/>
        </w:rPr>
        <w:t>贯彻执行党的卫生工作方针政策和国家卫生法律、法规，以公共卫生服务为主，面向农村居民提供综合性卫生服务，受上级卫生行政部门委托承担辖区内预防</w:t>
      </w:r>
      <w:r>
        <w:rPr>
          <w:rFonts w:hint="eastAsia" w:ascii="仿宋_GB2312" w:hAnsi="仿宋_GB2312" w:eastAsia="仿宋_GB2312"/>
          <w:sz w:val="32"/>
          <w:lang w:eastAsia="zh-CN"/>
        </w:rPr>
        <w:t>保健</w:t>
      </w:r>
      <w:r>
        <w:rPr>
          <w:rFonts w:ascii="仿宋_GB2312" w:hAnsi="仿宋_GB2312" w:eastAsia="仿宋_GB2312"/>
          <w:sz w:val="32"/>
        </w:rPr>
        <w:t>基本医疗、健康教育、康复等工作。</w:t>
      </w:r>
    </w:p>
    <w:p w14:paraId="15B566C2">
      <w:pPr>
        <w:spacing w:line="640" w:lineRule="exact"/>
        <w:ind w:firstLine="640"/>
        <w:jc w:val="both"/>
        <w:outlineLvl w:val="2"/>
      </w:pPr>
      <w:r>
        <w:rPr>
          <w:rFonts w:ascii="黑体" w:hAnsi="黑体" w:eastAsia="黑体"/>
          <w:sz w:val="32"/>
        </w:rPr>
        <w:t>二、机构设置及人员情况</w:t>
      </w:r>
    </w:p>
    <w:p w14:paraId="7D130DAA">
      <w:pPr>
        <w:spacing w:line="580" w:lineRule="exact"/>
        <w:ind w:firstLine="640"/>
        <w:jc w:val="both"/>
      </w:pPr>
      <w:r>
        <w:rPr>
          <w:rFonts w:ascii="仿宋_GB2312" w:hAnsi="仿宋_GB2312" w:eastAsia="仿宋_GB2312"/>
          <w:sz w:val="32"/>
        </w:rPr>
        <w:t>和田县英艾日克乡卫生院2024年度，实有人数29人，其中：在职人员28人，增加3人；离休人员0人，增加0人；退休人员1人,增加0人。</w:t>
      </w:r>
    </w:p>
    <w:p w14:paraId="603005C9">
      <w:pPr>
        <w:spacing w:line="580" w:lineRule="exact"/>
        <w:ind w:firstLine="640"/>
        <w:jc w:val="both"/>
      </w:pPr>
      <w:r>
        <w:rPr>
          <w:rFonts w:ascii="仿宋_GB2312" w:hAnsi="仿宋_GB2312" w:eastAsia="仿宋_GB2312"/>
          <w:sz w:val="32"/>
        </w:rPr>
        <w:t>和田县英艾日克乡卫生院无下属预算单位，下设7个科室，分别是：办公室、财务室、公共卫生、体检中心、住院部、妇科、门诊。</w:t>
      </w:r>
    </w:p>
    <w:p w14:paraId="53C75FC6">
      <w:r>
        <w:br w:type="page"/>
      </w:r>
    </w:p>
    <w:p w14:paraId="0ED91553">
      <w:pPr>
        <w:spacing w:line="240" w:lineRule="auto"/>
        <w:jc w:val="center"/>
        <w:outlineLvl w:val="1"/>
      </w:pPr>
      <w:r>
        <w:rPr>
          <w:rFonts w:ascii="黑体" w:hAnsi="黑体" w:eastAsia="黑体"/>
          <w:sz w:val="32"/>
        </w:rPr>
        <w:t>第二部分 部门决算情况说明</w:t>
      </w:r>
    </w:p>
    <w:p w14:paraId="1567CA41">
      <w:pPr>
        <w:spacing w:line="640" w:lineRule="exact"/>
        <w:ind w:firstLine="640"/>
        <w:jc w:val="both"/>
        <w:outlineLvl w:val="2"/>
      </w:pPr>
      <w:r>
        <w:rPr>
          <w:rFonts w:ascii="黑体" w:hAnsi="黑体" w:eastAsia="黑体"/>
          <w:sz w:val="32"/>
        </w:rPr>
        <w:t>一、收入支出决算总体情况说明</w:t>
      </w:r>
    </w:p>
    <w:p w14:paraId="65C1D8F5">
      <w:pPr>
        <w:spacing w:line="580" w:lineRule="exact"/>
        <w:ind w:firstLine="640"/>
        <w:jc w:val="both"/>
      </w:pPr>
      <w:r>
        <w:rPr>
          <w:rFonts w:ascii="仿宋_GB2312" w:hAnsi="仿宋_GB2312" w:eastAsia="仿宋_GB2312"/>
          <w:b/>
          <w:sz w:val="32"/>
        </w:rPr>
        <w:t>2024年度收入总计1,102.23万元，</w:t>
      </w:r>
      <w:r>
        <w:rPr>
          <w:rFonts w:ascii="仿宋_GB2312" w:hAnsi="仿宋_GB2312" w:eastAsia="仿宋_GB2312"/>
          <w:b w:val="0"/>
          <w:sz w:val="32"/>
        </w:rPr>
        <w:t>其中：本年收入合计1,102.23万元，使用非财政拨款结余（含专用结余）0.00万元，年初结转和结余0.00万元。</w:t>
      </w:r>
    </w:p>
    <w:p w14:paraId="180E569A">
      <w:pPr>
        <w:spacing w:line="580" w:lineRule="exact"/>
        <w:ind w:firstLine="640"/>
        <w:jc w:val="both"/>
      </w:pPr>
      <w:r>
        <w:rPr>
          <w:rFonts w:ascii="仿宋_GB2312" w:hAnsi="仿宋_GB2312" w:eastAsia="仿宋_GB2312"/>
          <w:b/>
          <w:sz w:val="32"/>
        </w:rPr>
        <w:t>2024年度支出总计1,102.23万元，</w:t>
      </w:r>
      <w:r>
        <w:rPr>
          <w:rFonts w:ascii="仿宋_GB2312" w:hAnsi="仿宋_GB2312" w:eastAsia="仿宋_GB2312"/>
          <w:b w:val="0"/>
          <w:sz w:val="32"/>
        </w:rPr>
        <w:t>其中：本年支出合计861.56万元，结余分配0.00万元，年末结转和结余240.67万元。</w:t>
      </w:r>
    </w:p>
    <w:p w14:paraId="22B98782">
      <w:pPr>
        <w:spacing w:line="580" w:lineRule="exact"/>
        <w:ind w:firstLine="640"/>
        <w:jc w:val="both"/>
      </w:pPr>
      <w:r>
        <w:rPr>
          <w:rFonts w:ascii="仿宋_GB2312" w:hAnsi="仿宋_GB2312" w:eastAsia="仿宋_GB2312"/>
          <w:b w:val="0"/>
          <w:sz w:val="32"/>
        </w:rPr>
        <w:t>收入支出总体与上年相比，增加13.79万元，增长1.27%，主要原因是：1.在职人员增加及人员工资调增，社保，住房公积金等相关人员经费增加；2.2024年我院门诊住院量增加，医疗事业经费增加。</w:t>
      </w:r>
    </w:p>
    <w:p w14:paraId="3EEF341C">
      <w:pPr>
        <w:spacing w:line="640" w:lineRule="exact"/>
        <w:ind w:firstLine="640"/>
        <w:jc w:val="both"/>
        <w:outlineLvl w:val="2"/>
      </w:pPr>
      <w:r>
        <w:rPr>
          <w:rFonts w:ascii="黑体" w:hAnsi="黑体" w:eastAsia="黑体"/>
          <w:sz w:val="32"/>
        </w:rPr>
        <w:t>二、收入决算情况说明</w:t>
      </w:r>
    </w:p>
    <w:p w14:paraId="2E21CD6C">
      <w:pPr>
        <w:spacing w:line="580" w:lineRule="exact"/>
        <w:ind w:firstLine="640"/>
        <w:jc w:val="both"/>
      </w:pPr>
      <w:r>
        <w:rPr>
          <w:rFonts w:ascii="仿宋_GB2312" w:hAnsi="仿宋_GB2312" w:eastAsia="仿宋_GB2312"/>
          <w:b/>
          <w:sz w:val="32"/>
        </w:rPr>
        <w:t>本年收入1,102.23万元，</w:t>
      </w:r>
      <w:r>
        <w:rPr>
          <w:rFonts w:ascii="仿宋_GB2312" w:hAnsi="仿宋_GB2312" w:eastAsia="仿宋_GB2312"/>
          <w:b w:val="0"/>
          <w:sz w:val="32"/>
        </w:rPr>
        <w:t>其中：财政拨款收入584.49万元，占53.03%；上级补助收入0.00万元，占0.00%；事业收入517.21万元，占46.92%；经营收入0.00万元，占0.00%；附属单位上缴收入0.00万元，占0.00%；其他收入0.53万元，占0.05%。</w:t>
      </w:r>
    </w:p>
    <w:p w14:paraId="59445CC7">
      <w:pPr>
        <w:spacing w:line="640" w:lineRule="exact"/>
        <w:ind w:firstLine="640"/>
        <w:jc w:val="both"/>
        <w:outlineLvl w:val="2"/>
      </w:pPr>
      <w:r>
        <w:rPr>
          <w:rFonts w:ascii="黑体" w:hAnsi="黑体" w:eastAsia="黑体"/>
          <w:sz w:val="32"/>
        </w:rPr>
        <w:t>三、支出决算情况说明</w:t>
      </w:r>
    </w:p>
    <w:p w14:paraId="4BF2FDD6">
      <w:pPr>
        <w:spacing w:line="580" w:lineRule="exact"/>
        <w:ind w:firstLine="640"/>
        <w:jc w:val="both"/>
      </w:pPr>
      <w:r>
        <w:rPr>
          <w:rFonts w:ascii="仿宋_GB2312" w:hAnsi="仿宋_GB2312" w:eastAsia="仿宋_GB2312"/>
          <w:b/>
          <w:sz w:val="32"/>
        </w:rPr>
        <w:t>本年支出861.56万元，</w:t>
      </w:r>
      <w:r>
        <w:rPr>
          <w:rFonts w:ascii="仿宋_GB2312" w:hAnsi="仿宋_GB2312" w:eastAsia="仿宋_GB2312"/>
          <w:b w:val="0"/>
          <w:sz w:val="32"/>
        </w:rPr>
        <w:t>其中：基本支出743.12万元，占86.25%；项目支出118.45万元，占13.75%；上缴上级支出0.00万元，占0.00%；经营支出0.00万元，占0.00%；对附属单位补助支出0.00万元，占0.00%。</w:t>
      </w:r>
    </w:p>
    <w:p w14:paraId="33ED8B88">
      <w:pPr>
        <w:spacing w:line="640" w:lineRule="exact"/>
        <w:ind w:firstLine="640"/>
        <w:jc w:val="both"/>
        <w:outlineLvl w:val="2"/>
      </w:pPr>
      <w:r>
        <w:rPr>
          <w:rFonts w:ascii="黑体" w:hAnsi="黑体" w:eastAsia="黑体"/>
          <w:sz w:val="32"/>
        </w:rPr>
        <w:t>四、财政拨款收入支出决算总体情况说明</w:t>
      </w:r>
    </w:p>
    <w:p w14:paraId="6E5216BA">
      <w:pPr>
        <w:spacing w:line="580" w:lineRule="exact"/>
        <w:ind w:firstLine="640"/>
        <w:jc w:val="both"/>
      </w:pPr>
      <w:r>
        <w:rPr>
          <w:rFonts w:ascii="仿宋_GB2312" w:hAnsi="仿宋_GB2312" w:eastAsia="仿宋_GB2312"/>
          <w:b/>
          <w:sz w:val="32"/>
        </w:rPr>
        <w:t>2024年度财政拨款收入总计584.49万元，</w:t>
      </w:r>
      <w:r>
        <w:rPr>
          <w:rFonts w:ascii="仿宋_GB2312" w:hAnsi="仿宋_GB2312" w:eastAsia="仿宋_GB2312"/>
          <w:b w:val="0"/>
          <w:sz w:val="32"/>
        </w:rPr>
        <w:t>其中：年初财政拨款结转和结余0.00万元，本年财政拨款收入584.49万元。</w:t>
      </w:r>
      <w:r>
        <w:rPr>
          <w:rFonts w:ascii="仿宋_GB2312" w:hAnsi="仿宋_GB2312" w:eastAsia="仿宋_GB2312"/>
          <w:b/>
          <w:sz w:val="32"/>
        </w:rPr>
        <w:t>财政拨款支出总计584.49万元，</w:t>
      </w:r>
      <w:r>
        <w:rPr>
          <w:rFonts w:ascii="仿宋_GB2312" w:hAnsi="仿宋_GB2312" w:eastAsia="仿宋_GB2312"/>
          <w:b w:val="0"/>
          <w:sz w:val="32"/>
        </w:rPr>
        <w:t>其中：年末财政拨款结转和结余0.00万元，本年财政拨款支出584.49万元。</w:t>
      </w:r>
    </w:p>
    <w:p w14:paraId="4083AFE5">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增加0.61万元，增长0.10%，主要原因是：在职人员增加及人员工资调增，社保，住房公积金等相关人员经费增加。</w:t>
      </w:r>
      <w:r>
        <w:rPr>
          <w:rFonts w:ascii="仿宋_GB2312" w:hAnsi="仿宋_GB2312" w:eastAsia="仿宋_GB2312"/>
          <w:b/>
          <w:sz w:val="32"/>
        </w:rPr>
        <w:t>与年初预算相比，</w:t>
      </w:r>
      <w:r>
        <w:rPr>
          <w:rFonts w:ascii="仿宋_GB2312" w:hAnsi="仿宋_GB2312" w:eastAsia="仿宋_GB2312"/>
          <w:b w:val="0"/>
          <w:sz w:val="32"/>
        </w:rPr>
        <w:t>年初预算数585.30万元，决算数584.49万元，预决算差异率-0.14%，主要原因是：年中调减2024年基本药物项目补助资金，导致预决算存在差异。</w:t>
      </w:r>
    </w:p>
    <w:p w14:paraId="4D0C6B00">
      <w:pPr>
        <w:spacing w:line="640" w:lineRule="exact"/>
        <w:ind w:firstLine="640"/>
        <w:jc w:val="both"/>
        <w:outlineLvl w:val="2"/>
      </w:pPr>
      <w:r>
        <w:rPr>
          <w:rFonts w:ascii="黑体" w:hAnsi="黑体" w:eastAsia="黑体"/>
          <w:sz w:val="32"/>
        </w:rPr>
        <w:t>五、一般公共预算财政拨款支出决算情况说明</w:t>
      </w:r>
    </w:p>
    <w:p w14:paraId="79795CB7">
      <w:pPr>
        <w:spacing w:line="640" w:lineRule="exact"/>
        <w:ind w:firstLine="640"/>
        <w:jc w:val="both"/>
        <w:outlineLvl w:val="3"/>
      </w:pPr>
      <w:r>
        <w:rPr>
          <w:rFonts w:ascii="楷体_GB2312" w:hAnsi="楷体_GB2312" w:eastAsia="楷体_GB2312"/>
          <w:b/>
          <w:sz w:val="32"/>
        </w:rPr>
        <w:t>（一）一般公共预算财政拨款支出决算总体情况</w:t>
      </w:r>
    </w:p>
    <w:p w14:paraId="0AE5EBB0">
      <w:pPr>
        <w:spacing w:line="580" w:lineRule="exact"/>
        <w:ind w:firstLine="640"/>
        <w:jc w:val="both"/>
      </w:pPr>
      <w:r>
        <w:rPr>
          <w:rFonts w:ascii="仿宋_GB2312" w:hAnsi="仿宋_GB2312" w:eastAsia="仿宋_GB2312"/>
          <w:b/>
          <w:sz w:val="32"/>
        </w:rPr>
        <w:t>2024年度一般公共预算财政拨款支出584.08万元，</w:t>
      </w:r>
      <w:r>
        <w:rPr>
          <w:rFonts w:ascii="仿宋_GB2312" w:hAnsi="仿宋_GB2312" w:eastAsia="仿宋_GB2312"/>
          <w:b w:val="0"/>
          <w:sz w:val="32"/>
        </w:rPr>
        <w:t>占本年支出合计的67.79%。</w:t>
      </w:r>
      <w:r>
        <w:rPr>
          <w:rFonts w:ascii="仿宋_GB2312" w:hAnsi="仿宋_GB2312" w:eastAsia="仿宋_GB2312"/>
          <w:b/>
          <w:sz w:val="32"/>
        </w:rPr>
        <w:t>与上年相比，</w:t>
      </w:r>
      <w:r>
        <w:rPr>
          <w:rFonts w:ascii="仿宋_GB2312" w:hAnsi="仿宋_GB2312" w:eastAsia="仿宋_GB2312"/>
          <w:b w:val="0"/>
          <w:sz w:val="32"/>
        </w:rPr>
        <w:t>增加0.20万元，增长0.03%，主要原因是：在职人员增加及人员工资调增，社保，住房公积金等相关人员经费增加。</w:t>
      </w:r>
      <w:r>
        <w:rPr>
          <w:rFonts w:ascii="仿宋_GB2312" w:hAnsi="仿宋_GB2312" w:eastAsia="仿宋_GB2312"/>
          <w:b/>
          <w:sz w:val="32"/>
        </w:rPr>
        <w:t>与年初预算相比,</w:t>
      </w:r>
      <w:r>
        <w:rPr>
          <w:rFonts w:ascii="仿宋_GB2312" w:hAnsi="仿宋_GB2312" w:eastAsia="仿宋_GB2312"/>
          <w:b w:val="0"/>
          <w:sz w:val="32"/>
        </w:rPr>
        <w:t>年初预算数585.30万元，决算数584.08万元，预决算差异率-0.21%，主要原因是：年中调减2024年基本药物项目补助资金，导致预决算存在差异。</w:t>
      </w:r>
    </w:p>
    <w:p w14:paraId="1BEA599E">
      <w:pPr>
        <w:spacing w:line="640" w:lineRule="exact"/>
        <w:ind w:firstLine="640"/>
        <w:jc w:val="both"/>
        <w:outlineLvl w:val="3"/>
      </w:pPr>
      <w:r>
        <w:rPr>
          <w:rFonts w:ascii="楷体_GB2312" w:hAnsi="楷体_GB2312" w:eastAsia="楷体_GB2312"/>
          <w:b/>
          <w:sz w:val="32"/>
        </w:rPr>
        <w:t>（二）一般公共预算财政拨款支出决算结构情况</w:t>
      </w:r>
    </w:p>
    <w:p w14:paraId="16703461">
      <w:pPr>
        <w:spacing w:line="580" w:lineRule="exact"/>
        <w:ind w:firstLine="640"/>
        <w:jc w:val="both"/>
      </w:pPr>
      <w:r>
        <w:rPr>
          <w:rFonts w:ascii="仿宋_GB2312" w:hAnsi="仿宋_GB2312" w:eastAsia="仿宋_GB2312"/>
          <w:b w:val="0"/>
          <w:sz w:val="32"/>
        </w:rPr>
        <w:t>1.社会保障和就业支出(类)48.92万元,占8.38%。</w:t>
      </w:r>
    </w:p>
    <w:p w14:paraId="3982AFA0">
      <w:pPr>
        <w:spacing w:line="580" w:lineRule="exact"/>
        <w:ind w:firstLine="640"/>
        <w:jc w:val="both"/>
      </w:pPr>
      <w:r>
        <w:rPr>
          <w:rFonts w:ascii="仿宋_GB2312" w:hAnsi="仿宋_GB2312" w:eastAsia="仿宋_GB2312"/>
          <w:b w:val="0"/>
          <w:sz w:val="32"/>
        </w:rPr>
        <w:t>2.卫生健康支出(类)497.97万元,占85.26%。</w:t>
      </w:r>
    </w:p>
    <w:p w14:paraId="6F98CF46">
      <w:pPr>
        <w:spacing w:line="580" w:lineRule="exact"/>
        <w:ind w:firstLine="640"/>
        <w:jc w:val="both"/>
      </w:pPr>
      <w:r>
        <w:rPr>
          <w:rFonts w:ascii="仿宋_GB2312" w:hAnsi="仿宋_GB2312" w:eastAsia="仿宋_GB2312"/>
          <w:b w:val="0"/>
          <w:sz w:val="32"/>
        </w:rPr>
        <w:t>3.住房保障支出(类)37.19万元,占6.37%。</w:t>
      </w:r>
    </w:p>
    <w:p w14:paraId="6E495764">
      <w:pPr>
        <w:spacing w:line="640" w:lineRule="exact"/>
        <w:ind w:firstLine="640"/>
        <w:jc w:val="both"/>
        <w:outlineLvl w:val="3"/>
      </w:pPr>
      <w:r>
        <w:rPr>
          <w:rFonts w:ascii="楷体_GB2312" w:hAnsi="楷体_GB2312" w:eastAsia="楷体_GB2312"/>
          <w:b/>
          <w:sz w:val="32"/>
        </w:rPr>
        <w:t>（三）一般公共预算财政拨款支出决算具体情况</w:t>
      </w:r>
    </w:p>
    <w:p w14:paraId="6C254872">
      <w:pPr>
        <w:spacing w:line="580" w:lineRule="exact"/>
        <w:ind w:firstLine="640"/>
        <w:jc w:val="both"/>
      </w:pPr>
      <w:r>
        <w:rPr>
          <w:rFonts w:ascii="仿宋_GB2312" w:hAnsi="仿宋_GB2312" w:eastAsia="仿宋_GB2312"/>
          <w:b w:val="0"/>
          <w:sz w:val="32"/>
        </w:rPr>
        <w:t>1.社会保障和就业支出(类)行政事业单位养老支出(款)机关事业单位基本养老保险缴费支出(项):支出决算数为48.92万元，比上年决算增加10.91万元，增长28.70%,主要原因是：在职人员增加及人员工资调增，养老保险缴费较上年增加。</w:t>
      </w:r>
    </w:p>
    <w:p w14:paraId="0D73E8F5">
      <w:pPr>
        <w:spacing w:line="580" w:lineRule="exact"/>
        <w:ind w:firstLine="640"/>
        <w:jc w:val="both"/>
      </w:pPr>
      <w:r>
        <w:rPr>
          <w:rFonts w:ascii="仿宋_GB2312" w:hAnsi="仿宋_GB2312" w:eastAsia="仿宋_GB2312"/>
          <w:b w:val="0"/>
          <w:sz w:val="32"/>
        </w:rPr>
        <w:t>2.卫生健康支出(类)卫生健康管理事务(款)其他卫生健康管理事务支出(项):支出决算数为2.50万元，比上年决算增加2.50万元，增长100.00%,主要原因是：本年2023年中央医疗服务与保障能力提升[卫生健康人才培训]补助资金增加。</w:t>
      </w:r>
    </w:p>
    <w:p w14:paraId="5AFA3409">
      <w:pPr>
        <w:spacing w:line="580" w:lineRule="exact"/>
        <w:ind w:firstLine="640"/>
        <w:jc w:val="both"/>
      </w:pPr>
      <w:r>
        <w:rPr>
          <w:rFonts w:ascii="仿宋_GB2312" w:hAnsi="仿宋_GB2312" w:eastAsia="仿宋_GB2312"/>
          <w:b w:val="0"/>
          <w:sz w:val="32"/>
        </w:rPr>
        <w:t>3.卫生健康支出(类)基层医疗卫生机构(款)乡镇卫生院(项):支出决算数为379.94万元，比上年决算增加8.98万元，增长2.42%,主要原因是：在职人员增加及人员工资调增，相关人员经费增加。</w:t>
      </w:r>
    </w:p>
    <w:p w14:paraId="7A1787F1">
      <w:pPr>
        <w:spacing w:line="580" w:lineRule="exact"/>
        <w:ind w:firstLine="640"/>
        <w:jc w:val="both"/>
      </w:pPr>
      <w:r>
        <w:rPr>
          <w:rFonts w:ascii="仿宋_GB2312" w:hAnsi="仿宋_GB2312" w:eastAsia="仿宋_GB2312"/>
          <w:b w:val="0"/>
          <w:sz w:val="32"/>
        </w:rPr>
        <w:t>4.卫生健康支出(类)基层医疗卫生机构(款)其他基层医疗卫生机构支出(项):支出决算数为6.67万元，比上年决算减少7.49万元，下降52.90%,主要原因是：2024年基本药物项目补助资金较上年减少。</w:t>
      </w:r>
    </w:p>
    <w:p w14:paraId="19A86D97">
      <w:pPr>
        <w:spacing w:line="580" w:lineRule="exact"/>
        <w:ind w:firstLine="640"/>
        <w:jc w:val="both"/>
      </w:pPr>
      <w:r>
        <w:rPr>
          <w:rFonts w:ascii="仿宋_GB2312" w:hAnsi="仿宋_GB2312" w:eastAsia="仿宋_GB2312"/>
          <w:b w:val="0"/>
          <w:sz w:val="32"/>
        </w:rPr>
        <w:t>5.卫生健康支出(类)公共卫生(款)基本公共卫生服务(项):支出决算数为90.30万元，比上年决算减少5.90万元，下降6.13%,主要原因是：本年村医工资及聘用人员工资较上年减少。</w:t>
      </w:r>
    </w:p>
    <w:p w14:paraId="0E26F7AF">
      <w:pPr>
        <w:spacing w:line="580" w:lineRule="exact"/>
        <w:ind w:firstLine="640"/>
        <w:jc w:val="both"/>
      </w:pPr>
      <w:r>
        <w:rPr>
          <w:rFonts w:ascii="仿宋_GB2312" w:hAnsi="仿宋_GB2312" w:eastAsia="仿宋_GB2312"/>
          <w:b w:val="0"/>
          <w:sz w:val="32"/>
        </w:rPr>
        <w:t>6.卫生健康支出(类)公共卫生(款)重大公共卫生服务(项):支出决算数为18.56万元，比上年决算增加18.56万元，增长100.00%,主要原因是：本年增加中央基本公共卫生服务资金，导致经费较上年增加。</w:t>
      </w:r>
    </w:p>
    <w:p w14:paraId="268941FD">
      <w:pPr>
        <w:spacing w:line="580" w:lineRule="exact"/>
        <w:ind w:firstLine="640"/>
        <w:jc w:val="both"/>
      </w:pPr>
      <w:r>
        <w:rPr>
          <w:rFonts w:ascii="仿宋_GB2312" w:hAnsi="仿宋_GB2312" w:eastAsia="仿宋_GB2312"/>
          <w:b w:val="0"/>
          <w:sz w:val="32"/>
        </w:rPr>
        <w:t>7.卫生健康支出(类)公共卫生(款)其他公共卫生支出(项):支出决算数为0.00万元，比上年决算减少64.56万元，下降100.00%,主要原因是：2024年自治区（地方）公共卫生项目补助资金较上年减少。</w:t>
      </w:r>
    </w:p>
    <w:p w14:paraId="6965052A">
      <w:pPr>
        <w:spacing w:line="580" w:lineRule="exact"/>
        <w:ind w:firstLine="640"/>
        <w:jc w:val="both"/>
      </w:pPr>
      <w:r>
        <w:rPr>
          <w:rFonts w:ascii="仿宋_GB2312" w:hAnsi="仿宋_GB2312" w:eastAsia="仿宋_GB2312"/>
          <w:b w:val="0"/>
          <w:sz w:val="32"/>
        </w:rPr>
        <w:t>8.住房保障支出(类)住房改革支出(款)住房公积金(项):支出决算数为37.19万元，比上年决算增加37.19万元，增长100.00%,主要原因是：本年功能科目调整，住房公积金上年度在主科目列支，本年单独列支，导致经费较上年增加。</w:t>
      </w:r>
    </w:p>
    <w:p w14:paraId="3481A186">
      <w:pPr>
        <w:spacing w:line="640" w:lineRule="exact"/>
        <w:ind w:firstLine="640"/>
        <w:jc w:val="both"/>
        <w:outlineLvl w:val="2"/>
      </w:pPr>
      <w:r>
        <w:rPr>
          <w:rFonts w:ascii="黑体" w:hAnsi="黑体" w:eastAsia="黑体"/>
          <w:sz w:val="32"/>
        </w:rPr>
        <w:t>六、一般公共预算财政拨款基本支出决算情况说明</w:t>
      </w:r>
    </w:p>
    <w:p w14:paraId="1433C667">
      <w:pPr>
        <w:spacing w:line="580" w:lineRule="exact"/>
        <w:ind w:firstLine="640"/>
        <w:jc w:val="both"/>
      </w:pPr>
      <w:r>
        <w:rPr>
          <w:rFonts w:ascii="仿宋_GB2312" w:hAnsi="仿宋_GB2312" w:eastAsia="仿宋_GB2312"/>
          <w:b w:val="0"/>
          <w:sz w:val="32"/>
        </w:rPr>
        <w:t>2024年度一般公共预算财政拨款基本支出466.04万元，其中：</w:t>
      </w:r>
      <w:r>
        <w:rPr>
          <w:rFonts w:ascii="仿宋_GB2312" w:hAnsi="仿宋_GB2312" w:eastAsia="仿宋_GB2312"/>
          <w:b/>
          <w:sz w:val="32"/>
        </w:rPr>
        <w:t>人员经费466.04万元，</w:t>
      </w:r>
      <w:r>
        <w:rPr>
          <w:rFonts w:ascii="仿宋_GB2312" w:hAnsi="仿宋_GB2312" w:eastAsia="仿宋_GB2312"/>
          <w:b w:val="0"/>
          <w:sz w:val="32"/>
        </w:rPr>
        <w:t>包括：基本工资、津贴补贴、奖金、绩效工资、机关事业单位基本养老保险缴费、职工基本医疗保险缴费、其他社会保障缴费、住房公积金、退休费。</w:t>
      </w:r>
    </w:p>
    <w:p w14:paraId="3BBCA298">
      <w:pPr>
        <w:spacing w:line="580" w:lineRule="exact"/>
        <w:ind w:firstLine="640"/>
        <w:jc w:val="both"/>
      </w:pPr>
      <w:r>
        <w:rPr>
          <w:rFonts w:ascii="仿宋_GB2312" w:hAnsi="仿宋_GB2312" w:eastAsia="仿宋_GB2312"/>
          <w:b/>
          <w:sz w:val="32"/>
        </w:rPr>
        <w:t>公用经费0.00万元，</w:t>
      </w:r>
      <w:r>
        <w:rPr>
          <w:rFonts w:ascii="仿宋_GB2312" w:hAnsi="仿宋_GB2312" w:eastAsia="仿宋_GB2312"/>
          <w:b w:val="0"/>
          <w:sz w:val="32"/>
        </w:rPr>
        <w:t>包括：无公用经费。</w:t>
      </w:r>
    </w:p>
    <w:p w14:paraId="489A7E25">
      <w:pPr>
        <w:spacing w:line="640" w:lineRule="exact"/>
        <w:ind w:firstLine="640"/>
        <w:jc w:val="both"/>
        <w:outlineLvl w:val="2"/>
      </w:pPr>
      <w:r>
        <w:rPr>
          <w:rFonts w:ascii="黑体" w:hAnsi="黑体" w:eastAsia="黑体"/>
          <w:sz w:val="32"/>
        </w:rPr>
        <w:t>七、政府性基金预算财政拨款收入支出决算情况说明</w:t>
      </w:r>
    </w:p>
    <w:p w14:paraId="2E7C7B09">
      <w:pPr>
        <w:spacing w:line="580" w:lineRule="exact"/>
        <w:ind w:firstLine="640"/>
        <w:jc w:val="both"/>
      </w:pPr>
      <w:r>
        <w:rPr>
          <w:rFonts w:ascii="仿宋_GB2312" w:hAnsi="仿宋_GB2312" w:eastAsia="仿宋_GB2312"/>
          <w:b/>
          <w:sz w:val="32"/>
        </w:rPr>
        <w:t>2024年度政府性基金预算财政拨款收入总计0.41万元，</w:t>
      </w:r>
      <w:r>
        <w:rPr>
          <w:rFonts w:ascii="仿宋_GB2312" w:hAnsi="仿宋_GB2312" w:eastAsia="仿宋_GB2312"/>
          <w:b w:val="0"/>
          <w:sz w:val="32"/>
        </w:rPr>
        <w:t>其中：年初结转和结余0.00万元，本年收入0.41万元。</w:t>
      </w:r>
      <w:r>
        <w:rPr>
          <w:rFonts w:ascii="仿宋_GB2312" w:hAnsi="仿宋_GB2312" w:eastAsia="仿宋_GB2312"/>
          <w:b/>
          <w:sz w:val="32"/>
        </w:rPr>
        <w:t>政府性基金预算财政拨款支出总计0.41万元，</w:t>
      </w:r>
      <w:r>
        <w:rPr>
          <w:rFonts w:ascii="仿宋_GB2312" w:hAnsi="仿宋_GB2312" w:eastAsia="仿宋_GB2312"/>
          <w:b w:val="0"/>
          <w:sz w:val="32"/>
        </w:rPr>
        <w:t>其中：年末结转和结余0.00万元，本年支出0.41万元。</w:t>
      </w:r>
    </w:p>
    <w:p w14:paraId="0498B3DA">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增加0.41万元，增长100.00%，主要原因是：本年新增中央专项彩票公益金支持地方社会公益事业发展医疗救助资金，导致经费较上年增加。</w:t>
      </w:r>
      <w:r>
        <w:rPr>
          <w:rFonts w:ascii="仿宋_GB2312" w:hAnsi="仿宋_GB2312" w:eastAsia="仿宋_GB2312"/>
          <w:b/>
          <w:sz w:val="32"/>
        </w:rPr>
        <w:t>与年初预算相比，</w:t>
      </w:r>
      <w:r>
        <w:rPr>
          <w:rFonts w:ascii="仿宋_GB2312" w:hAnsi="仿宋_GB2312" w:eastAsia="仿宋_GB2312"/>
          <w:b w:val="0"/>
          <w:sz w:val="32"/>
        </w:rPr>
        <w:t>年初预算数0.00万元，决算数0.41万元，预决算差异率100.00%，主要原因是：年中追加中央专项彩票公益金支持地方社会公益事业发展医疗救助资金，导致预决算存在差异。</w:t>
      </w:r>
    </w:p>
    <w:p w14:paraId="52CD262A">
      <w:pPr>
        <w:spacing w:line="580" w:lineRule="exact"/>
        <w:ind w:firstLine="640"/>
        <w:jc w:val="both"/>
      </w:pPr>
      <w:r>
        <w:rPr>
          <w:rFonts w:ascii="仿宋_GB2312" w:hAnsi="仿宋_GB2312" w:eastAsia="仿宋_GB2312"/>
          <w:b w:val="0"/>
          <w:sz w:val="32"/>
        </w:rPr>
        <w:t>政府性基金预算财政拨款支出0.41万元。</w:t>
      </w:r>
    </w:p>
    <w:p w14:paraId="214261C1">
      <w:pPr>
        <w:spacing w:line="580" w:lineRule="exact"/>
        <w:ind w:firstLine="640"/>
        <w:jc w:val="both"/>
      </w:pPr>
      <w:r>
        <w:rPr>
          <w:rFonts w:ascii="仿宋_GB2312" w:hAnsi="仿宋_GB2312" w:eastAsia="仿宋_GB2312"/>
          <w:b w:val="0"/>
          <w:sz w:val="32"/>
        </w:rPr>
        <w:t>1.其他支出(类)彩票公益金安排的支出(款)用于城乡医疗救助的彩票公益金支出(项):支出决算数为0.41万元，比上年决算增加0.41万元，增长100.00%,主要原因是：本年新增中央专项彩票公益金支持地方社会公益事业发展医疗救助资金，导致经费较上年增加。</w:t>
      </w:r>
    </w:p>
    <w:p w14:paraId="11A6B7B8">
      <w:pPr>
        <w:spacing w:line="640" w:lineRule="exact"/>
        <w:ind w:firstLine="640"/>
        <w:jc w:val="both"/>
        <w:outlineLvl w:val="2"/>
      </w:pPr>
      <w:r>
        <w:rPr>
          <w:rFonts w:ascii="黑体" w:hAnsi="黑体" w:eastAsia="黑体"/>
          <w:sz w:val="32"/>
        </w:rPr>
        <w:t>八、国有资本经营预算财政拨款收入支出决算情况说明</w:t>
      </w:r>
    </w:p>
    <w:p w14:paraId="08302E58">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58F4BDCA">
      <w:pPr>
        <w:spacing w:line="640" w:lineRule="exact"/>
        <w:ind w:firstLine="640"/>
        <w:jc w:val="both"/>
        <w:outlineLvl w:val="2"/>
      </w:pPr>
      <w:r>
        <w:rPr>
          <w:rFonts w:ascii="黑体" w:hAnsi="黑体" w:eastAsia="黑体"/>
          <w:sz w:val="32"/>
        </w:rPr>
        <w:t>九、财政拨款“三公”经费支出决算情况说明</w:t>
      </w:r>
    </w:p>
    <w:p w14:paraId="421C5FEF">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31E3CD96">
      <w:pPr>
        <w:spacing w:line="580" w:lineRule="exact"/>
        <w:ind w:firstLine="640"/>
        <w:jc w:val="both"/>
      </w:pPr>
      <w:r>
        <w:rPr>
          <w:rFonts w:ascii="仿宋_GB2312" w:hAnsi="仿宋_GB2312" w:eastAsia="仿宋_GB2312"/>
          <w:b/>
          <w:sz w:val="32"/>
        </w:rPr>
        <w:t>具体情况如下：</w:t>
      </w:r>
    </w:p>
    <w:p w14:paraId="2537526A">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2618FB16">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3辆，与公务用车保有量差异原因是：救护车，样本转运车，经费均为单位自有资金保障。</w:t>
      </w:r>
    </w:p>
    <w:p w14:paraId="00F6296E">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7AFB0DB3">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0EC57F7F">
      <w:pPr>
        <w:spacing w:line="640" w:lineRule="exact"/>
        <w:ind w:firstLine="640"/>
        <w:jc w:val="both"/>
        <w:outlineLvl w:val="2"/>
      </w:pPr>
      <w:r>
        <w:rPr>
          <w:rFonts w:ascii="黑体" w:hAnsi="黑体" w:eastAsia="黑体"/>
          <w:sz w:val="32"/>
        </w:rPr>
        <w:t>十、其他重要事项的情况说明</w:t>
      </w:r>
    </w:p>
    <w:p w14:paraId="31257D1C">
      <w:pPr>
        <w:spacing w:line="640" w:lineRule="exact"/>
        <w:ind w:firstLine="640"/>
        <w:jc w:val="both"/>
        <w:outlineLvl w:val="3"/>
      </w:pPr>
      <w:r>
        <w:rPr>
          <w:rFonts w:ascii="楷体_GB2312" w:hAnsi="楷体_GB2312" w:eastAsia="楷体_GB2312"/>
          <w:b/>
          <w:sz w:val="32"/>
        </w:rPr>
        <w:t>（一）机关运行经费及公用经费支出情况</w:t>
      </w:r>
    </w:p>
    <w:p w14:paraId="7F410A19">
      <w:pPr>
        <w:spacing w:line="580" w:lineRule="exact"/>
        <w:ind w:firstLine="640"/>
        <w:jc w:val="both"/>
      </w:pPr>
      <w:r>
        <w:rPr>
          <w:rFonts w:ascii="仿宋_GB2312" w:hAnsi="仿宋_GB2312" w:eastAsia="仿宋_GB2312"/>
          <w:b w:val="0"/>
          <w:sz w:val="32"/>
        </w:rPr>
        <w:t>2024年度和田县英艾日克乡卫生院（事业单位）公用经费支出0.00万元，比上年增加0.00万元，增长0.00%，主要原因是：2023年与2024年均未安排公用经费支出。</w:t>
      </w:r>
    </w:p>
    <w:p w14:paraId="382C5AC7">
      <w:pPr>
        <w:spacing w:line="640" w:lineRule="exact"/>
        <w:ind w:firstLine="640"/>
        <w:jc w:val="both"/>
        <w:outlineLvl w:val="3"/>
      </w:pPr>
      <w:r>
        <w:rPr>
          <w:rFonts w:ascii="楷体_GB2312" w:hAnsi="楷体_GB2312" w:eastAsia="楷体_GB2312"/>
          <w:b/>
          <w:sz w:val="32"/>
        </w:rPr>
        <w:t>（二）政府采购情况</w:t>
      </w:r>
    </w:p>
    <w:p w14:paraId="535C4DA4">
      <w:pPr>
        <w:spacing w:line="580" w:lineRule="exact"/>
        <w:ind w:firstLine="640"/>
        <w:jc w:val="both"/>
      </w:pPr>
      <w:r>
        <w:rPr>
          <w:rFonts w:ascii="仿宋_GB2312" w:hAnsi="仿宋_GB2312" w:eastAsia="仿宋_GB2312"/>
          <w:b w:val="0"/>
          <w:sz w:val="32"/>
        </w:rPr>
        <w:t>2024年度政府采购支出总额3.47万元，其中：政府采购货物支出0.12万元、政府采购工程支出0.42万元、政府采购服务支出2.93万元。</w:t>
      </w:r>
    </w:p>
    <w:p w14:paraId="14935EEC">
      <w:pPr>
        <w:spacing w:line="580" w:lineRule="exact"/>
        <w:ind w:firstLine="640"/>
        <w:jc w:val="both"/>
      </w:pPr>
      <w:r>
        <w:rPr>
          <w:rFonts w:ascii="仿宋_GB2312" w:hAnsi="仿宋_GB2312" w:eastAsia="仿宋_GB2312"/>
          <w:b w:val="0"/>
          <w:sz w:val="32"/>
        </w:rPr>
        <w:t>授予中小企业合同金额3.47万元，占政府采购支出总额的100.00%，其中：授予小微企业合同金额3.47万元，占政府采购支出总额的100.00%。</w:t>
      </w:r>
    </w:p>
    <w:p w14:paraId="38B800C7">
      <w:pPr>
        <w:spacing w:line="640" w:lineRule="exact"/>
        <w:ind w:firstLine="640"/>
        <w:jc w:val="both"/>
        <w:outlineLvl w:val="3"/>
      </w:pPr>
      <w:r>
        <w:rPr>
          <w:rFonts w:ascii="楷体_GB2312" w:hAnsi="楷体_GB2312" w:eastAsia="楷体_GB2312"/>
          <w:b/>
          <w:sz w:val="32"/>
        </w:rPr>
        <w:t>（三）国有资产占用情况说明</w:t>
      </w:r>
    </w:p>
    <w:p w14:paraId="35AAFA16">
      <w:pPr>
        <w:spacing w:line="580" w:lineRule="exact"/>
        <w:ind w:firstLine="640"/>
        <w:jc w:val="both"/>
      </w:pPr>
      <w:r>
        <w:rPr>
          <w:rFonts w:ascii="仿宋_GB2312" w:hAnsi="仿宋_GB2312" w:eastAsia="仿宋_GB2312"/>
          <w:b w:val="0"/>
          <w:sz w:val="32"/>
        </w:rPr>
        <w:t>截至2024年12月31日，房屋2,549.61平方米，价值211.64万元。车辆3辆，价值32.38万元，其中：副部（省）级及以上领导用车0辆、主要负责人用车0辆、机要通信用车0辆、应急保障用车0辆、执法执勤用车0辆、特种专业技术用车0辆、离退休干部服务用车0辆、其他用车3辆，其他用车主要是：救护车、转运样本车，用于开展医疗救助的业务用车等。单价100万元（含）以上设备（不含车辆）0台（套）。</w:t>
      </w:r>
    </w:p>
    <w:p w14:paraId="27F57E59">
      <w:pPr>
        <w:spacing w:line="640" w:lineRule="exact"/>
        <w:ind w:firstLine="640"/>
        <w:jc w:val="both"/>
        <w:outlineLvl w:val="2"/>
      </w:pPr>
      <w:r>
        <w:rPr>
          <w:rFonts w:ascii="黑体" w:hAnsi="黑体" w:eastAsia="黑体"/>
          <w:sz w:val="32"/>
        </w:rPr>
        <w:t>十一、预算绩效的情况说明</w:t>
      </w:r>
    </w:p>
    <w:p w14:paraId="6D679547">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1,102.23万元，实际执行总额861.56万元；预算绩效评价项目0个，全年预算数0.00万元，全年执行数0.00万元。预算绩效管理取得的成效：一是确保资金的高效使用，切实发挥</w:t>
      </w:r>
      <w:r>
        <w:rPr>
          <w:rFonts w:hint="eastAsia" w:ascii="仿宋_GB2312" w:hAnsi="仿宋_GB2312" w:eastAsia="仿宋_GB2312"/>
          <w:b w:val="0"/>
          <w:sz w:val="32"/>
          <w:lang w:eastAsia="zh-CN"/>
        </w:rPr>
        <w:t>财政资金使用</w:t>
      </w:r>
      <w:r>
        <w:rPr>
          <w:rFonts w:ascii="仿宋_GB2312" w:hAnsi="仿宋_GB2312" w:eastAsia="仿宋_GB2312"/>
          <w:b w:val="0"/>
          <w:sz w:val="32"/>
        </w:rPr>
        <w:t>效果；二是严格按照工作职责和相关文件依据，确保专款专用。发现的问题及原因：绩效指标的明确性、可衡量性、相关性还需进一步提升。预算精细化管理还需完善，预算编制管理水平仍有进一步提升的空间。下一步改进措施：一是加强学习，进一步明确如何参照考核体系，科学合理设定绩效目标，充分发挥预算绩效管理工作效用。二是财务上会计核算要更加详细，为本单位各项工作的开展、总结、评估提供有效数据资料支撑,为各项业务工作更好</w:t>
      </w:r>
      <w:r>
        <w:rPr>
          <w:rFonts w:hint="eastAsia" w:ascii="仿宋_GB2312" w:hAnsi="仿宋_GB2312" w:eastAsia="仿宋_GB2312"/>
          <w:b w:val="0"/>
          <w:sz w:val="32"/>
          <w:lang w:eastAsia="zh-CN"/>
        </w:rPr>
        <w:t>地</w:t>
      </w:r>
      <w:r>
        <w:rPr>
          <w:rFonts w:ascii="仿宋_GB2312" w:hAnsi="仿宋_GB2312" w:eastAsia="仿宋_GB2312"/>
          <w:b w:val="0"/>
          <w:sz w:val="32"/>
        </w:rPr>
        <w:t>开展提供帮助。具体附整体支出绩效自评表。</w:t>
      </w:r>
    </w:p>
    <w:p w14:paraId="5F365E11">
      <w:r>
        <w:br w:type="page"/>
      </w:r>
    </w:p>
    <w:tbl>
      <w:tblPr>
        <w:tblStyle w:val="9"/>
        <w:tblW w:w="5000" w:type="pct"/>
        <w:jc w:val="center"/>
        <w:tblLayout w:type="autofit"/>
        <w:tblCellMar>
          <w:top w:w="32" w:type="dxa"/>
          <w:left w:w="64" w:type="dxa"/>
          <w:bottom w:w="32" w:type="dxa"/>
          <w:right w:w="64" w:type="dxa"/>
        </w:tblCellMar>
      </w:tblPr>
      <w:tblGrid>
        <w:gridCol w:w="532"/>
        <w:gridCol w:w="1347"/>
        <w:gridCol w:w="563"/>
        <w:gridCol w:w="1174"/>
        <w:gridCol w:w="1337"/>
        <w:gridCol w:w="1278"/>
        <w:gridCol w:w="693"/>
        <w:gridCol w:w="1258"/>
        <w:gridCol w:w="790"/>
      </w:tblGrid>
      <w:tr w14:paraId="08DAF849">
        <w:tblPrEx>
          <w:tblCellMar>
            <w:top w:w="32" w:type="dxa"/>
            <w:left w:w="64" w:type="dxa"/>
            <w:bottom w:w="32" w:type="dxa"/>
            <w:right w:w="64" w:type="dxa"/>
          </w:tblCellMar>
        </w:tblPrEx>
        <w:trPr>
          <w:trHeight w:val="0" w:hRule="atLeast"/>
          <w:jc w:val="center"/>
        </w:trPr>
        <w:tc>
          <w:tcPr>
            <w:tcW w:w="5000" w:type="pct"/>
            <w:gridSpan w:val="9"/>
            <w:vAlign w:val="center"/>
          </w:tcPr>
          <w:p w14:paraId="7E83DFA1">
            <w:pPr>
              <w:snapToGrid w:val="0"/>
              <w:jc w:val="center"/>
            </w:pPr>
            <w:r>
              <w:rPr>
                <w:rFonts w:ascii="宋体" w:hAnsi="宋体" w:eastAsia="宋体"/>
                <w:sz w:val="24"/>
              </w:rPr>
              <w:t>单位整体支出绩效自评表</w:t>
            </w:r>
          </w:p>
        </w:tc>
      </w:tr>
      <w:tr w14:paraId="0A9DA24F">
        <w:tblPrEx>
          <w:tblCellMar>
            <w:top w:w="32" w:type="dxa"/>
            <w:left w:w="64" w:type="dxa"/>
            <w:bottom w:w="32" w:type="dxa"/>
            <w:right w:w="64" w:type="dxa"/>
          </w:tblCellMar>
        </w:tblPrEx>
        <w:trPr>
          <w:trHeight w:val="0" w:hRule="atLeast"/>
          <w:jc w:val="center"/>
        </w:trPr>
        <w:tc>
          <w:tcPr>
            <w:tcW w:w="5000" w:type="pct"/>
            <w:gridSpan w:val="9"/>
            <w:vAlign w:val="center"/>
          </w:tcPr>
          <w:p w14:paraId="640C4E0E">
            <w:pPr>
              <w:snapToGrid w:val="0"/>
              <w:jc w:val="center"/>
            </w:pPr>
            <w:r>
              <w:rPr>
                <w:rFonts w:ascii="宋体" w:hAnsi="宋体" w:eastAsia="宋体"/>
                <w:sz w:val="24"/>
              </w:rPr>
              <w:t>（2024年度）</w:t>
            </w:r>
          </w:p>
        </w:tc>
      </w:tr>
      <w:tr w14:paraId="76FDA11B">
        <w:tblPrEx>
          <w:tblCellMar>
            <w:top w:w="32" w:type="dxa"/>
            <w:left w:w="64" w:type="dxa"/>
            <w:bottom w:w="32" w:type="dxa"/>
            <w:right w:w="64" w:type="dxa"/>
          </w:tblCellMar>
        </w:tblPrEx>
        <w:trPr>
          <w:trHeight w:val="0" w:hRule="atLeast"/>
          <w:jc w:val="center"/>
        </w:trPr>
        <w:tc>
          <w:tcPr>
            <w:tcW w:w="297" w:type="pct"/>
            <w:tcBorders>
              <w:top w:val="single" w:color="auto" w:sz="10" w:space="0"/>
              <w:left w:val="single" w:color="auto" w:sz="10" w:space="0"/>
              <w:bottom w:val="single" w:color="auto" w:sz="10" w:space="0"/>
              <w:right w:val="single" w:color="auto" w:sz="10" w:space="0"/>
              <w:insideV w:val="single" w:sz="10" w:space="0"/>
            </w:tcBorders>
            <w:vAlign w:val="center"/>
          </w:tcPr>
          <w:p w14:paraId="77902199">
            <w:pPr>
              <w:snapToGrid w:val="0"/>
              <w:jc w:val="center"/>
            </w:pPr>
            <w:r>
              <w:rPr>
                <w:rFonts w:ascii="宋体" w:hAnsi="宋体" w:eastAsia="宋体"/>
                <w:sz w:val="16"/>
              </w:rPr>
              <w:t>单位名称</w:t>
            </w:r>
          </w:p>
        </w:tc>
        <w:tc>
          <w:tcPr>
            <w:tcW w:w="4702" w:type="pct"/>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6902686">
            <w:pPr>
              <w:snapToGrid w:val="0"/>
              <w:jc w:val="center"/>
            </w:pPr>
            <w:r>
              <w:rPr>
                <w:rFonts w:ascii="宋体" w:hAnsi="宋体" w:eastAsia="宋体"/>
                <w:sz w:val="16"/>
              </w:rPr>
              <w:t>和田县英艾日克乡卫生院</w:t>
            </w:r>
          </w:p>
        </w:tc>
      </w:tr>
      <w:tr w14:paraId="48BBA8F6">
        <w:tblPrEx>
          <w:tblCellMar>
            <w:top w:w="32" w:type="dxa"/>
            <w:left w:w="64" w:type="dxa"/>
            <w:bottom w:w="32" w:type="dxa"/>
            <w:right w:w="64" w:type="dxa"/>
          </w:tblCellMar>
        </w:tblPrEx>
        <w:trPr>
          <w:trHeight w:val="0" w:hRule="atLeast"/>
          <w:jc w:val="center"/>
        </w:trPr>
        <w:tc>
          <w:tcPr>
            <w:tcW w:w="297" w:type="pct"/>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825F44">
            <w:pPr>
              <w:snapToGrid w:val="0"/>
              <w:jc w:val="center"/>
            </w:pPr>
            <w:r>
              <w:rPr>
                <w:rFonts w:ascii="宋体" w:hAnsi="宋体" w:eastAsia="宋体"/>
                <w:sz w:val="16"/>
              </w:rPr>
              <w:t>年度预算（万元）</w:t>
            </w:r>
          </w:p>
        </w:tc>
        <w:tc>
          <w:tcPr>
            <w:tcW w:w="1065" w:type="pct"/>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98064D">
            <w:pPr>
              <w:snapToGrid w:val="0"/>
              <w:jc w:val="center"/>
            </w:pPr>
            <w:r>
              <w:rPr>
                <w:rFonts w:ascii="宋体" w:hAnsi="宋体" w:eastAsia="宋体"/>
                <w:sz w:val="16"/>
              </w:rPr>
              <w:t>资金来源</w:t>
            </w:r>
          </w:p>
        </w:tc>
        <w:tc>
          <w:tcPr>
            <w:tcW w:w="654" w:type="pct"/>
            <w:tcBorders>
              <w:top w:val="single" w:color="auto" w:sz="10" w:space="0"/>
              <w:left w:val="single" w:color="auto" w:sz="10" w:space="0"/>
              <w:bottom w:val="single" w:color="auto" w:sz="10" w:space="0"/>
              <w:right w:val="single" w:color="auto" w:sz="10" w:space="0"/>
              <w:insideV w:val="single" w:sz="10" w:space="0"/>
            </w:tcBorders>
            <w:vAlign w:val="center"/>
          </w:tcPr>
          <w:p w14:paraId="466275F8">
            <w:pPr>
              <w:snapToGrid w:val="0"/>
              <w:jc w:val="center"/>
            </w:pPr>
            <w:r>
              <w:rPr>
                <w:rFonts w:ascii="宋体" w:hAnsi="宋体" w:eastAsia="宋体"/>
                <w:sz w:val="16"/>
              </w:rPr>
              <w:t>年初预算数</w:t>
            </w:r>
          </w:p>
        </w:tc>
        <w:tc>
          <w:tcPr>
            <w:tcW w:w="745" w:type="pct"/>
            <w:tcBorders>
              <w:top w:val="single" w:color="auto" w:sz="10" w:space="0"/>
              <w:left w:val="single" w:color="auto" w:sz="10" w:space="0"/>
              <w:bottom w:val="single" w:color="auto" w:sz="10" w:space="0"/>
              <w:right w:val="single" w:color="auto" w:sz="10" w:space="0"/>
              <w:insideV w:val="single" w:sz="10" w:space="0"/>
            </w:tcBorders>
            <w:vAlign w:val="center"/>
          </w:tcPr>
          <w:p w14:paraId="47D60AAC">
            <w:pPr>
              <w:snapToGrid w:val="0"/>
              <w:jc w:val="center"/>
            </w:pPr>
            <w:r>
              <w:rPr>
                <w:rFonts w:ascii="宋体" w:hAnsi="宋体" w:eastAsia="宋体"/>
                <w:sz w:val="16"/>
              </w:rPr>
              <w:t>全年预算数</w:t>
            </w:r>
          </w:p>
        </w:tc>
        <w:tc>
          <w:tcPr>
            <w:tcW w:w="712" w:type="pct"/>
            <w:tcBorders>
              <w:top w:val="single" w:color="auto" w:sz="10" w:space="0"/>
              <w:left w:val="single" w:color="auto" w:sz="10" w:space="0"/>
              <w:bottom w:val="single" w:color="auto" w:sz="10" w:space="0"/>
              <w:right w:val="single" w:color="auto" w:sz="10" w:space="0"/>
              <w:insideV w:val="single" w:sz="10" w:space="0"/>
            </w:tcBorders>
            <w:vAlign w:val="center"/>
          </w:tcPr>
          <w:p w14:paraId="077FA811">
            <w:pPr>
              <w:snapToGrid w:val="0"/>
              <w:jc w:val="center"/>
            </w:pPr>
            <w:r>
              <w:rPr>
                <w:rFonts w:ascii="宋体" w:hAnsi="宋体" w:eastAsia="宋体"/>
                <w:sz w:val="16"/>
              </w:rPr>
              <w:t>全年执行数</w:t>
            </w:r>
          </w:p>
        </w:tc>
        <w:tc>
          <w:tcPr>
            <w:tcW w:w="386" w:type="pct"/>
            <w:tcBorders>
              <w:top w:val="single" w:color="auto" w:sz="10" w:space="0"/>
              <w:left w:val="single" w:color="auto" w:sz="10" w:space="0"/>
              <w:bottom w:val="single" w:color="auto" w:sz="10" w:space="0"/>
              <w:right w:val="single" w:color="auto" w:sz="10" w:space="0"/>
              <w:insideV w:val="single" w:sz="10" w:space="0"/>
            </w:tcBorders>
            <w:vAlign w:val="center"/>
          </w:tcPr>
          <w:p w14:paraId="53E71B04">
            <w:pPr>
              <w:snapToGrid w:val="0"/>
              <w:jc w:val="center"/>
            </w:pPr>
            <w:r>
              <w:rPr>
                <w:rFonts w:ascii="宋体" w:hAnsi="宋体" w:eastAsia="宋体"/>
                <w:sz w:val="16"/>
              </w:rPr>
              <w:t>分值权重</w:t>
            </w:r>
          </w:p>
        </w:tc>
        <w:tc>
          <w:tcPr>
            <w:tcW w:w="701" w:type="pct"/>
            <w:tcBorders>
              <w:top w:val="single" w:color="auto" w:sz="10" w:space="0"/>
              <w:left w:val="single" w:color="auto" w:sz="10" w:space="0"/>
              <w:bottom w:val="single" w:color="auto" w:sz="10" w:space="0"/>
              <w:right w:val="single" w:color="auto" w:sz="10" w:space="0"/>
              <w:insideV w:val="single" w:sz="10" w:space="0"/>
            </w:tcBorders>
            <w:vAlign w:val="center"/>
          </w:tcPr>
          <w:p w14:paraId="7D9171B3">
            <w:pPr>
              <w:snapToGrid w:val="0"/>
              <w:jc w:val="center"/>
            </w:pPr>
            <w:r>
              <w:rPr>
                <w:rFonts w:ascii="宋体" w:hAnsi="宋体" w:eastAsia="宋体"/>
                <w:sz w:val="16"/>
              </w:rPr>
              <w:t>执行率</w:t>
            </w:r>
          </w:p>
        </w:tc>
        <w:tc>
          <w:tcPr>
            <w:tcW w:w="437" w:type="pct"/>
            <w:tcBorders>
              <w:top w:val="single" w:color="auto" w:sz="10" w:space="0"/>
              <w:left w:val="single" w:color="auto" w:sz="10" w:space="0"/>
              <w:bottom w:val="single" w:color="auto" w:sz="10" w:space="0"/>
              <w:right w:val="single" w:color="auto" w:sz="10" w:space="0"/>
              <w:insideV w:val="single" w:sz="10" w:space="0"/>
            </w:tcBorders>
            <w:vAlign w:val="center"/>
          </w:tcPr>
          <w:p w14:paraId="673A96C0">
            <w:pPr>
              <w:snapToGrid w:val="0"/>
              <w:jc w:val="center"/>
            </w:pPr>
            <w:r>
              <w:rPr>
                <w:rFonts w:ascii="宋体" w:hAnsi="宋体" w:eastAsia="宋体"/>
                <w:sz w:val="16"/>
              </w:rPr>
              <w:t>得分</w:t>
            </w:r>
          </w:p>
        </w:tc>
      </w:tr>
      <w:tr w14:paraId="3391BD00">
        <w:tblPrEx>
          <w:tblCellMar>
            <w:top w:w="32" w:type="dxa"/>
            <w:left w:w="64" w:type="dxa"/>
            <w:bottom w:w="32" w:type="dxa"/>
            <w:right w:w="64" w:type="dxa"/>
          </w:tblCellMar>
        </w:tblPrEx>
        <w:trPr>
          <w:trHeight w:val="0" w:hRule="atLeast"/>
          <w:jc w:val="center"/>
        </w:trPr>
        <w:tc>
          <w:tcPr>
            <w:tcW w:w="297" w:type="pct"/>
            <w:vMerge w:val="continue"/>
            <w:tcBorders>
              <w:top w:val="single" w:color="auto" w:sz="10" w:space="0"/>
              <w:left w:val="single" w:color="auto" w:sz="10" w:space="0"/>
              <w:bottom w:val="single" w:color="auto" w:sz="10" w:space="0"/>
              <w:right w:val="single" w:color="auto" w:sz="10" w:space="0"/>
              <w:insideV w:val="single" w:sz="10" w:space="0"/>
            </w:tcBorders>
          </w:tcPr>
          <w:p w14:paraId="41A3E373">
            <w:pPr>
              <w:snapToGrid w:val="0"/>
            </w:pPr>
          </w:p>
        </w:tc>
        <w:tc>
          <w:tcPr>
            <w:tcW w:w="751" w:type="pct"/>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D93AC8">
            <w:pPr>
              <w:snapToGrid w:val="0"/>
              <w:jc w:val="center"/>
            </w:pPr>
            <w:r>
              <w:rPr>
                <w:rFonts w:ascii="宋体" w:hAnsi="宋体" w:eastAsia="宋体"/>
                <w:sz w:val="16"/>
              </w:rPr>
              <w:t>财政资金（万元）</w:t>
            </w:r>
          </w:p>
        </w:tc>
        <w:tc>
          <w:tcPr>
            <w:tcW w:w="313" w:type="pct"/>
            <w:tcBorders>
              <w:top w:val="single" w:color="auto" w:sz="10" w:space="0"/>
              <w:left w:val="single" w:color="auto" w:sz="10" w:space="0"/>
              <w:bottom w:val="single" w:color="auto" w:sz="10" w:space="0"/>
              <w:right w:val="single" w:color="auto" w:sz="10" w:space="0"/>
              <w:insideV w:val="single" w:sz="10" w:space="0"/>
            </w:tcBorders>
            <w:vAlign w:val="center"/>
          </w:tcPr>
          <w:p w14:paraId="15DA157E">
            <w:pPr>
              <w:snapToGrid w:val="0"/>
              <w:jc w:val="center"/>
            </w:pPr>
            <w:r>
              <w:rPr>
                <w:rFonts w:ascii="宋体" w:hAnsi="宋体" w:eastAsia="宋体"/>
                <w:sz w:val="16"/>
              </w:rPr>
              <w:t>上级</w:t>
            </w:r>
          </w:p>
        </w:tc>
        <w:tc>
          <w:tcPr>
            <w:tcW w:w="654" w:type="pct"/>
            <w:tcBorders>
              <w:top w:val="single" w:color="auto" w:sz="10" w:space="0"/>
              <w:left w:val="single" w:color="auto" w:sz="10" w:space="0"/>
              <w:bottom w:val="single" w:color="auto" w:sz="10" w:space="0"/>
              <w:right w:val="single" w:color="auto" w:sz="10" w:space="0"/>
              <w:insideV w:val="single" w:sz="10" w:space="0"/>
            </w:tcBorders>
            <w:vAlign w:val="center"/>
          </w:tcPr>
          <w:p w14:paraId="3A56267F">
            <w:pPr>
              <w:snapToGrid w:val="0"/>
              <w:jc w:val="center"/>
            </w:pPr>
            <w:r>
              <w:rPr>
                <w:rFonts w:ascii="宋体" w:hAnsi="宋体" w:eastAsia="宋体"/>
                <w:sz w:val="16"/>
              </w:rPr>
              <w:t>136.27</w:t>
            </w:r>
          </w:p>
        </w:tc>
        <w:tc>
          <w:tcPr>
            <w:tcW w:w="745" w:type="pct"/>
            <w:tcBorders>
              <w:top w:val="single" w:color="auto" w:sz="10" w:space="0"/>
              <w:left w:val="single" w:color="auto" w:sz="10" w:space="0"/>
              <w:bottom w:val="single" w:color="auto" w:sz="10" w:space="0"/>
              <w:right w:val="single" w:color="auto" w:sz="10" w:space="0"/>
              <w:insideV w:val="single" w:sz="10" w:space="0"/>
            </w:tcBorders>
            <w:vAlign w:val="center"/>
          </w:tcPr>
          <w:p w14:paraId="50A87B1C">
            <w:pPr>
              <w:snapToGrid w:val="0"/>
              <w:jc w:val="center"/>
            </w:pPr>
            <w:r>
              <w:rPr>
                <w:rFonts w:ascii="宋体" w:hAnsi="宋体" w:eastAsia="宋体"/>
                <w:sz w:val="16"/>
              </w:rPr>
              <w:t>118.45</w:t>
            </w:r>
          </w:p>
        </w:tc>
        <w:tc>
          <w:tcPr>
            <w:tcW w:w="712" w:type="pct"/>
            <w:tcBorders>
              <w:top w:val="single" w:color="auto" w:sz="10" w:space="0"/>
              <w:left w:val="single" w:color="auto" w:sz="10" w:space="0"/>
              <w:bottom w:val="single" w:color="auto" w:sz="10" w:space="0"/>
              <w:right w:val="single" w:color="auto" w:sz="10" w:space="0"/>
              <w:insideV w:val="single" w:sz="10" w:space="0"/>
            </w:tcBorders>
            <w:vAlign w:val="center"/>
          </w:tcPr>
          <w:p w14:paraId="4A0AD97B">
            <w:pPr>
              <w:snapToGrid w:val="0"/>
              <w:jc w:val="center"/>
            </w:pPr>
            <w:r>
              <w:rPr>
                <w:rFonts w:ascii="宋体" w:hAnsi="宋体" w:eastAsia="宋体"/>
                <w:sz w:val="16"/>
              </w:rPr>
              <w:t>118.45</w:t>
            </w:r>
          </w:p>
        </w:tc>
        <w:tc>
          <w:tcPr>
            <w:tcW w:w="386" w:type="pct"/>
            <w:tcBorders>
              <w:top w:val="single" w:color="auto" w:sz="10" w:space="0"/>
              <w:left w:val="single" w:color="auto" w:sz="10" w:space="0"/>
              <w:bottom w:val="single" w:color="auto" w:sz="10" w:space="0"/>
              <w:right w:val="single" w:color="auto" w:sz="10" w:space="0"/>
              <w:insideV w:val="single" w:sz="10" w:space="0"/>
            </w:tcBorders>
            <w:vAlign w:val="center"/>
          </w:tcPr>
          <w:p w14:paraId="5A0C1AD0">
            <w:pPr>
              <w:snapToGrid w:val="0"/>
              <w:jc w:val="center"/>
            </w:pPr>
            <w:r>
              <w:rPr>
                <w:rFonts w:ascii="宋体" w:hAnsi="宋体" w:eastAsia="宋体"/>
                <w:sz w:val="16"/>
              </w:rPr>
              <w:t>10</w:t>
            </w:r>
          </w:p>
        </w:tc>
        <w:tc>
          <w:tcPr>
            <w:tcW w:w="701" w:type="pct"/>
            <w:tcBorders>
              <w:top w:val="single" w:color="auto" w:sz="10" w:space="0"/>
              <w:left w:val="single" w:color="auto" w:sz="10" w:space="0"/>
              <w:bottom w:val="single" w:color="auto" w:sz="10" w:space="0"/>
              <w:right w:val="single" w:color="auto" w:sz="10" w:space="0"/>
              <w:insideV w:val="single" w:sz="10" w:space="0"/>
            </w:tcBorders>
            <w:vAlign w:val="center"/>
          </w:tcPr>
          <w:p w14:paraId="66EECB28">
            <w:pPr>
              <w:snapToGrid w:val="0"/>
              <w:jc w:val="center"/>
            </w:pPr>
            <w:r>
              <w:rPr>
                <w:rFonts w:ascii="宋体" w:hAnsi="宋体" w:eastAsia="宋体"/>
                <w:sz w:val="16"/>
              </w:rPr>
              <w:t>78.17%</w:t>
            </w:r>
          </w:p>
        </w:tc>
        <w:tc>
          <w:tcPr>
            <w:tcW w:w="437" w:type="pct"/>
            <w:tcBorders>
              <w:top w:val="single" w:color="auto" w:sz="10" w:space="0"/>
              <w:left w:val="single" w:color="auto" w:sz="10" w:space="0"/>
              <w:bottom w:val="single" w:color="auto" w:sz="10" w:space="0"/>
              <w:right w:val="single" w:color="auto" w:sz="10" w:space="0"/>
              <w:insideV w:val="single" w:sz="10" w:space="0"/>
            </w:tcBorders>
            <w:vAlign w:val="center"/>
          </w:tcPr>
          <w:p w14:paraId="5A2A299F">
            <w:pPr>
              <w:snapToGrid w:val="0"/>
              <w:jc w:val="center"/>
            </w:pPr>
            <w:r>
              <w:rPr>
                <w:rFonts w:ascii="宋体" w:hAnsi="宋体" w:eastAsia="宋体"/>
                <w:sz w:val="16"/>
              </w:rPr>
              <w:t>7.81</w:t>
            </w:r>
          </w:p>
        </w:tc>
      </w:tr>
      <w:tr w14:paraId="4B47F639">
        <w:tblPrEx>
          <w:tblCellMar>
            <w:top w:w="32" w:type="dxa"/>
            <w:left w:w="64" w:type="dxa"/>
            <w:bottom w:w="32" w:type="dxa"/>
            <w:right w:w="64" w:type="dxa"/>
          </w:tblCellMar>
        </w:tblPrEx>
        <w:trPr>
          <w:trHeight w:val="0" w:hRule="atLeast"/>
          <w:jc w:val="center"/>
        </w:trPr>
        <w:tc>
          <w:tcPr>
            <w:tcW w:w="297" w:type="pct"/>
            <w:vMerge w:val="continue"/>
            <w:tcBorders>
              <w:top w:val="single" w:color="auto" w:sz="10" w:space="0"/>
              <w:left w:val="single" w:color="auto" w:sz="10" w:space="0"/>
              <w:bottom w:val="single" w:color="auto" w:sz="10" w:space="0"/>
              <w:right w:val="single" w:color="auto" w:sz="10" w:space="0"/>
              <w:insideV w:val="single" w:sz="10" w:space="0"/>
            </w:tcBorders>
          </w:tcPr>
          <w:p w14:paraId="12593001">
            <w:pPr>
              <w:snapToGrid w:val="0"/>
            </w:pPr>
          </w:p>
        </w:tc>
        <w:tc>
          <w:tcPr>
            <w:tcW w:w="751" w:type="pct"/>
            <w:vMerge w:val="continue"/>
            <w:tcBorders>
              <w:top w:val="single" w:color="auto" w:sz="10" w:space="0"/>
              <w:left w:val="single" w:color="auto" w:sz="10" w:space="0"/>
              <w:bottom w:val="single" w:color="auto" w:sz="10" w:space="0"/>
              <w:right w:val="single" w:color="auto" w:sz="10" w:space="0"/>
              <w:insideV w:val="single" w:sz="10" w:space="0"/>
            </w:tcBorders>
          </w:tcPr>
          <w:p w14:paraId="2B24534B">
            <w:pPr>
              <w:snapToGrid w:val="0"/>
            </w:pPr>
          </w:p>
        </w:tc>
        <w:tc>
          <w:tcPr>
            <w:tcW w:w="313" w:type="pct"/>
            <w:tcBorders>
              <w:top w:val="single" w:color="auto" w:sz="10" w:space="0"/>
              <w:left w:val="single" w:color="auto" w:sz="10" w:space="0"/>
              <w:bottom w:val="single" w:color="auto" w:sz="10" w:space="0"/>
              <w:right w:val="single" w:color="auto" w:sz="10" w:space="0"/>
              <w:insideV w:val="single" w:sz="10" w:space="0"/>
            </w:tcBorders>
            <w:vAlign w:val="center"/>
          </w:tcPr>
          <w:p w14:paraId="6E7E0103">
            <w:pPr>
              <w:snapToGrid w:val="0"/>
              <w:jc w:val="center"/>
            </w:pPr>
            <w:r>
              <w:rPr>
                <w:rFonts w:ascii="宋体" w:hAnsi="宋体" w:eastAsia="宋体"/>
                <w:sz w:val="16"/>
              </w:rPr>
              <w:t>本级</w:t>
            </w:r>
          </w:p>
        </w:tc>
        <w:tc>
          <w:tcPr>
            <w:tcW w:w="654" w:type="pct"/>
            <w:tcBorders>
              <w:top w:val="single" w:color="auto" w:sz="10" w:space="0"/>
              <w:left w:val="single" w:color="auto" w:sz="10" w:space="0"/>
              <w:bottom w:val="single" w:color="auto" w:sz="10" w:space="0"/>
              <w:right w:val="single" w:color="auto" w:sz="10" w:space="0"/>
              <w:insideV w:val="single" w:sz="10" w:space="0"/>
            </w:tcBorders>
            <w:vAlign w:val="center"/>
          </w:tcPr>
          <w:p w14:paraId="32109980">
            <w:pPr>
              <w:snapToGrid w:val="0"/>
              <w:jc w:val="center"/>
            </w:pPr>
            <w:r>
              <w:rPr>
                <w:rFonts w:ascii="宋体" w:hAnsi="宋体" w:eastAsia="宋体"/>
                <w:sz w:val="16"/>
              </w:rPr>
              <w:t>449.03</w:t>
            </w:r>
          </w:p>
        </w:tc>
        <w:tc>
          <w:tcPr>
            <w:tcW w:w="745" w:type="pct"/>
            <w:tcBorders>
              <w:top w:val="single" w:color="auto" w:sz="10" w:space="0"/>
              <w:left w:val="single" w:color="auto" w:sz="10" w:space="0"/>
              <w:bottom w:val="single" w:color="auto" w:sz="10" w:space="0"/>
              <w:right w:val="single" w:color="auto" w:sz="10" w:space="0"/>
              <w:insideV w:val="single" w:sz="10" w:space="0"/>
            </w:tcBorders>
            <w:vAlign w:val="center"/>
          </w:tcPr>
          <w:p w14:paraId="764A6813">
            <w:pPr>
              <w:snapToGrid w:val="0"/>
              <w:jc w:val="center"/>
            </w:pPr>
            <w:r>
              <w:rPr>
                <w:rFonts w:ascii="宋体" w:hAnsi="宋体" w:eastAsia="宋体"/>
                <w:sz w:val="16"/>
              </w:rPr>
              <w:t>983.78</w:t>
            </w:r>
          </w:p>
        </w:tc>
        <w:tc>
          <w:tcPr>
            <w:tcW w:w="712" w:type="pct"/>
            <w:tcBorders>
              <w:top w:val="single" w:color="auto" w:sz="10" w:space="0"/>
              <w:left w:val="single" w:color="auto" w:sz="10" w:space="0"/>
              <w:bottom w:val="single" w:color="auto" w:sz="10" w:space="0"/>
              <w:right w:val="single" w:color="auto" w:sz="10" w:space="0"/>
              <w:insideV w:val="single" w:sz="10" w:space="0"/>
            </w:tcBorders>
            <w:vAlign w:val="center"/>
          </w:tcPr>
          <w:p w14:paraId="4B915998">
            <w:pPr>
              <w:snapToGrid w:val="0"/>
              <w:jc w:val="center"/>
            </w:pPr>
            <w:r>
              <w:rPr>
                <w:rFonts w:ascii="宋体" w:hAnsi="宋体" w:eastAsia="宋体"/>
                <w:sz w:val="16"/>
              </w:rPr>
              <w:t>743.11</w:t>
            </w:r>
          </w:p>
        </w:tc>
        <w:tc>
          <w:tcPr>
            <w:tcW w:w="386" w:type="pct"/>
            <w:tcBorders>
              <w:top w:val="single" w:color="auto" w:sz="10" w:space="0"/>
              <w:left w:val="single" w:color="auto" w:sz="10" w:space="0"/>
              <w:bottom w:val="single" w:color="auto" w:sz="10" w:space="0"/>
              <w:right w:val="single" w:color="auto" w:sz="10" w:space="0"/>
              <w:insideV w:val="single" w:sz="10" w:space="0"/>
            </w:tcBorders>
            <w:vAlign w:val="center"/>
          </w:tcPr>
          <w:p w14:paraId="50A236B7">
            <w:pPr>
              <w:snapToGrid w:val="0"/>
              <w:jc w:val="center"/>
            </w:pPr>
            <w:r>
              <w:rPr>
                <w:rFonts w:ascii="宋体" w:hAnsi="宋体" w:eastAsia="宋体"/>
                <w:sz w:val="16"/>
              </w:rPr>
              <w:t>-</w:t>
            </w:r>
          </w:p>
        </w:tc>
        <w:tc>
          <w:tcPr>
            <w:tcW w:w="701" w:type="pct"/>
            <w:tcBorders>
              <w:top w:val="single" w:color="auto" w:sz="10" w:space="0"/>
              <w:left w:val="single" w:color="auto" w:sz="10" w:space="0"/>
              <w:bottom w:val="single" w:color="auto" w:sz="10" w:space="0"/>
              <w:right w:val="single" w:color="auto" w:sz="10" w:space="0"/>
              <w:insideV w:val="single" w:sz="10" w:space="0"/>
            </w:tcBorders>
            <w:vAlign w:val="center"/>
          </w:tcPr>
          <w:p w14:paraId="113BF3BA">
            <w:pPr>
              <w:snapToGrid w:val="0"/>
              <w:jc w:val="center"/>
            </w:pPr>
            <w:r>
              <w:rPr>
                <w:rFonts w:ascii="宋体" w:hAnsi="宋体" w:eastAsia="宋体"/>
                <w:sz w:val="16"/>
              </w:rPr>
              <w:t>-</w:t>
            </w:r>
          </w:p>
        </w:tc>
        <w:tc>
          <w:tcPr>
            <w:tcW w:w="437" w:type="pct"/>
            <w:tcBorders>
              <w:top w:val="single" w:color="auto" w:sz="10" w:space="0"/>
              <w:left w:val="single" w:color="auto" w:sz="10" w:space="0"/>
              <w:bottom w:val="single" w:color="auto" w:sz="10" w:space="0"/>
              <w:right w:val="single" w:color="auto" w:sz="10" w:space="0"/>
              <w:insideV w:val="single" w:sz="10" w:space="0"/>
            </w:tcBorders>
            <w:vAlign w:val="center"/>
          </w:tcPr>
          <w:p w14:paraId="19CC7363">
            <w:pPr>
              <w:snapToGrid w:val="0"/>
              <w:jc w:val="center"/>
            </w:pPr>
            <w:r>
              <w:rPr>
                <w:rFonts w:ascii="宋体" w:hAnsi="宋体" w:eastAsia="宋体"/>
                <w:sz w:val="16"/>
              </w:rPr>
              <w:t>-</w:t>
            </w:r>
          </w:p>
        </w:tc>
      </w:tr>
      <w:tr w14:paraId="490B79E6">
        <w:tblPrEx>
          <w:tblCellMar>
            <w:top w:w="32" w:type="dxa"/>
            <w:left w:w="64" w:type="dxa"/>
            <w:bottom w:w="32" w:type="dxa"/>
            <w:right w:w="64" w:type="dxa"/>
          </w:tblCellMar>
        </w:tblPrEx>
        <w:trPr>
          <w:trHeight w:val="0" w:hRule="atLeast"/>
          <w:jc w:val="center"/>
        </w:trPr>
        <w:tc>
          <w:tcPr>
            <w:tcW w:w="297" w:type="pct"/>
            <w:vMerge w:val="continue"/>
            <w:tcBorders>
              <w:top w:val="single" w:color="auto" w:sz="10" w:space="0"/>
              <w:left w:val="single" w:color="auto" w:sz="10" w:space="0"/>
              <w:bottom w:val="single" w:color="auto" w:sz="10" w:space="0"/>
              <w:right w:val="single" w:color="auto" w:sz="10" w:space="0"/>
              <w:insideV w:val="single" w:sz="10" w:space="0"/>
            </w:tcBorders>
          </w:tcPr>
          <w:p w14:paraId="27A8D2BA">
            <w:pPr>
              <w:snapToGrid w:val="0"/>
            </w:pPr>
          </w:p>
        </w:tc>
        <w:tc>
          <w:tcPr>
            <w:tcW w:w="751" w:type="pct"/>
            <w:vMerge w:val="continue"/>
            <w:tcBorders>
              <w:top w:val="single" w:color="auto" w:sz="10" w:space="0"/>
              <w:left w:val="single" w:color="auto" w:sz="10" w:space="0"/>
              <w:bottom w:val="single" w:color="auto" w:sz="10" w:space="0"/>
              <w:right w:val="single" w:color="auto" w:sz="10" w:space="0"/>
              <w:insideV w:val="single" w:sz="10" w:space="0"/>
            </w:tcBorders>
          </w:tcPr>
          <w:p w14:paraId="16B81DF4">
            <w:pPr>
              <w:snapToGrid w:val="0"/>
            </w:pPr>
          </w:p>
        </w:tc>
        <w:tc>
          <w:tcPr>
            <w:tcW w:w="313" w:type="pct"/>
            <w:tcBorders>
              <w:top w:val="single" w:color="auto" w:sz="10" w:space="0"/>
              <w:left w:val="single" w:color="auto" w:sz="10" w:space="0"/>
              <w:bottom w:val="single" w:color="auto" w:sz="10" w:space="0"/>
              <w:right w:val="single" w:color="auto" w:sz="10" w:space="0"/>
              <w:insideV w:val="single" w:sz="10" w:space="0"/>
            </w:tcBorders>
            <w:vAlign w:val="center"/>
          </w:tcPr>
          <w:p w14:paraId="4F9508AC">
            <w:pPr>
              <w:snapToGrid w:val="0"/>
              <w:jc w:val="center"/>
            </w:pPr>
            <w:r>
              <w:rPr>
                <w:rFonts w:ascii="宋体" w:hAnsi="宋体" w:eastAsia="宋体"/>
                <w:sz w:val="16"/>
              </w:rPr>
              <w:t>其他</w:t>
            </w:r>
          </w:p>
        </w:tc>
        <w:tc>
          <w:tcPr>
            <w:tcW w:w="654" w:type="pct"/>
            <w:tcBorders>
              <w:top w:val="single" w:color="auto" w:sz="10" w:space="0"/>
              <w:left w:val="single" w:color="auto" w:sz="10" w:space="0"/>
              <w:bottom w:val="single" w:color="auto" w:sz="10" w:space="0"/>
              <w:right w:val="single" w:color="auto" w:sz="10" w:space="0"/>
              <w:insideV w:val="single" w:sz="10" w:space="0"/>
            </w:tcBorders>
            <w:vAlign w:val="center"/>
          </w:tcPr>
          <w:p w14:paraId="7E0238DD">
            <w:pPr>
              <w:snapToGrid w:val="0"/>
              <w:jc w:val="center"/>
            </w:pPr>
            <w:r>
              <w:rPr>
                <w:rFonts w:ascii="宋体" w:hAnsi="宋体" w:eastAsia="宋体"/>
                <w:sz w:val="16"/>
              </w:rPr>
              <w:t>0.00</w:t>
            </w:r>
          </w:p>
        </w:tc>
        <w:tc>
          <w:tcPr>
            <w:tcW w:w="745" w:type="pct"/>
            <w:tcBorders>
              <w:top w:val="single" w:color="auto" w:sz="10" w:space="0"/>
              <w:left w:val="single" w:color="auto" w:sz="10" w:space="0"/>
              <w:bottom w:val="single" w:color="auto" w:sz="10" w:space="0"/>
              <w:right w:val="single" w:color="auto" w:sz="10" w:space="0"/>
              <w:insideV w:val="single" w:sz="10" w:space="0"/>
            </w:tcBorders>
            <w:vAlign w:val="center"/>
          </w:tcPr>
          <w:p w14:paraId="47ED77E7">
            <w:pPr>
              <w:snapToGrid w:val="0"/>
              <w:jc w:val="center"/>
            </w:pPr>
            <w:r>
              <w:rPr>
                <w:rFonts w:ascii="宋体" w:hAnsi="宋体" w:eastAsia="宋体"/>
                <w:sz w:val="16"/>
              </w:rPr>
              <w:t>0.00</w:t>
            </w:r>
          </w:p>
        </w:tc>
        <w:tc>
          <w:tcPr>
            <w:tcW w:w="712" w:type="pct"/>
            <w:tcBorders>
              <w:top w:val="single" w:color="auto" w:sz="10" w:space="0"/>
              <w:left w:val="single" w:color="auto" w:sz="10" w:space="0"/>
              <w:bottom w:val="single" w:color="auto" w:sz="10" w:space="0"/>
              <w:right w:val="single" w:color="auto" w:sz="10" w:space="0"/>
              <w:insideV w:val="single" w:sz="10" w:space="0"/>
            </w:tcBorders>
            <w:vAlign w:val="center"/>
          </w:tcPr>
          <w:p w14:paraId="65C4537D">
            <w:pPr>
              <w:snapToGrid w:val="0"/>
              <w:jc w:val="center"/>
            </w:pPr>
            <w:r>
              <w:rPr>
                <w:rFonts w:ascii="宋体" w:hAnsi="宋体" w:eastAsia="宋体"/>
                <w:sz w:val="16"/>
              </w:rPr>
              <w:t>0.00</w:t>
            </w:r>
          </w:p>
        </w:tc>
        <w:tc>
          <w:tcPr>
            <w:tcW w:w="386" w:type="pct"/>
            <w:tcBorders>
              <w:top w:val="single" w:color="auto" w:sz="10" w:space="0"/>
              <w:left w:val="single" w:color="auto" w:sz="10" w:space="0"/>
              <w:bottom w:val="single" w:color="auto" w:sz="10" w:space="0"/>
              <w:right w:val="single" w:color="auto" w:sz="10" w:space="0"/>
              <w:insideV w:val="single" w:sz="10" w:space="0"/>
            </w:tcBorders>
            <w:vAlign w:val="center"/>
          </w:tcPr>
          <w:p w14:paraId="539DA2A2">
            <w:pPr>
              <w:snapToGrid w:val="0"/>
              <w:jc w:val="center"/>
            </w:pPr>
            <w:r>
              <w:rPr>
                <w:rFonts w:ascii="宋体" w:hAnsi="宋体" w:eastAsia="宋体"/>
                <w:sz w:val="16"/>
              </w:rPr>
              <w:t>-</w:t>
            </w:r>
          </w:p>
        </w:tc>
        <w:tc>
          <w:tcPr>
            <w:tcW w:w="701" w:type="pct"/>
            <w:tcBorders>
              <w:top w:val="single" w:color="auto" w:sz="10" w:space="0"/>
              <w:left w:val="single" w:color="auto" w:sz="10" w:space="0"/>
              <w:bottom w:val="single" w:color="auto" w:sz="10" w:space="0"/>
              <w:right w:val="single" w:color="auto" w:sz="10" w:space="0"/>
              <w:insideV w:val="single" w:sz="10" w:space="0"/>
            </w:tcBorders>
            <w:vAlign w:val="center"/>
          </w:tcPr>
          <w:p w14:paraId="3C882A8B">
            <w:pPr>
              <w:snapToGrid w:val="0"/>
              <w:jc w:val="center"/>
            </w:pPr>
            <w:r>
              <w:rPr>
                <w:rFonts w:ascii="宋体" w:hAnsi="宋体" w:eastAsia="宋体"/>
                <w:sz w:val="16"/>
              </w:rPr>
              <w:t>-</w:t>
            </w:r>
          </w:p>
        </w:tc>
        <w:tc>
          <w:tcPr>
            <w:tcW w:w="437" w:type="pct"/>
            <w:tcBorders>
              <w:top w:val="single" w:color="auto" w:sz="10" w:space="0"/>
              <w:left w:val="single" w:color="auto" w:sz="10" w:space="0"/>
              <w:bottom w:val="single" w:color="auto" w:sz="10" w:space="0"/>
              <w:right w:val="single" w:color="auto" w:sz="10" w:space="0"/>
              <w:insideV w:val="single" w:sz="10" w:space="0"/>
            </w:tcBorders>
            <w:vAlign w:val="center"/>
          </w:tcPr>
          <w:p w14:paraId="367151B5">
            <w:pPr>
              <w:snapToGrid w:val="0"/>
              <w:jc w:val="center"/>
            </w:pPr>
            <w:r>
              <w:rPr>
                <w:rFonts w:ascii="宋体" w:hAnsi="宋体" w:eastAsia="宋体"/>
                <w:sz w:val="16"/>
              </w:rPr>
              <w:t>-</w:t>
            </w:r>
          </w:p>
        </w:tc>
      </w:tr>
      <w:tr w14:paraId="6F4CDBA3">
        <w:tblPrEx>
          <w:tblCellMar>
            <w:top w:w="32" w:type="dxa"/>
            <w:left w:w="64" w:type="dxa"/>
            <w:bottom w:w="32" w:type="dxa"/>
            <w:right w:w="64" w:type="dxa"/>
          </w:tblCellMar>
        </w:tblPrEx>
        <w:trPr>
          <w:trHeight w:val="0" w:hRule="atLeast"/>
          <w:jc w:val="center"/>
        </w:trPr>
        <w:tc>
          <w:tcPr>
            <w:tcW w:w="297" w:type="pct"/>
            <w:vMerge w:val="continue"/>
            <w:tcBorders>
              <w:top w:val="single" w:color="auto" w:sz="10" w:space="0"/>
              <w:left w:val="single" w:color="auto" w:sz="10" w:space="0"/>
              <w:bottom w:val="single" w:color="auto" w:sz="10" w:space="0"/>
              <w:right w:val="single" w:color="auto" w:sz="10" w:space="0"/>
              <w:insideV w:val="single" w:sz="10" w:space="0"/>
            </w:tcBorders>
          </w:tcPr>
          <w:p w14:paraId="4A1717D3">
            <w:pPr>
              <w:snapToGrid w:val="0"/>
            </w:pPr>
          </w:p>
        </w:tc>
        <w:tc>
          <w:tcPr>
            <w:tcW w:w="751" w:type="pct"/>
            <w:tcBorders>
              <w:top w:val="single" w:color="auto" w:sz="10" w:space="0"/>
              <w:left w:val="single" w:color="auto" w:sz="10" w:space="0"/>
              <w:bottom w:val="single" w:color="auto" w:sz="10" w:space="0"/>
              <w:right w:val="single" w:color="auto" w:sz="10" w:space="0"/>
              <w:insideV w:val="single" w:sz="10" w:space="0"/>
            </w:tcBorders>
            <w:vAlign w:val="center"/>
          </w:tcPr>
          <w:p w14:paraId="57459036">
            <w:pPr>
              <w:snapToGrid w:val="0"/>
              <w:jc w:val="center"/>
            </w:pPr>
            <w:r>
              <w:rPr>
                <w:rFonts w:ascii="宋体" w:hAnsi="宋体" w:eastAsia="宋体"/>
                <w:sz w:val="16"/>
              </w:rPr>
              <w:t>合计</w:t>
            </w:r>
          </w:p>
        </w:tc>
        <w:tc>
          <w:tcPr>
            <w:tcW w:w="313" w:type="pct"/>
            <w:tcBorders>
              <w:top w:val="single" w:color="auto" w:sz="10" w:space="0"/>
              <w:left w:val="single" w:color="auto" w:sz="10" w:space="0"/>
              <w:bottom w:val="single" w:color="auto" w:sz="10" w:space="0"/>
              <w:right w:val="single" w:color="auto" w:sz="10" w:space="0"/>
              <w:insideV w:val="single" w:sz="10" w:space="0"/>
            </w:tcBorders>
            <w:vAlign w:val="center"/>
          </w:tcPr>
          <w:p w14:paraId="47185503">
            <w:pPr>
              <w:snapToGrid w:val="0"/>
              <w:jc w:val="center"/>
            </w:pPr>
            <w:r>
              <w:rPr>
                <w:rFonts w:ascii="宋体" w:hAnsi="宋体" w:eastAsia="宋体"/>
                <w:sz w:val="16"/>
              </w:rPr>
              <w:t>-</w:t>
            </w:r>
          </w:p>
        </w:tc>
        <w:tc>
          <w:tcPr>
            <w:tcW w:w="654" w:type="pct"/>
            <w:tcBorders>
              <w:top w:val="single" w:color="auto" w:sz="10" w:space="0"/>
              <w:left w:val="single" w:color="auto" w:sz="10" w:space="0"/>
              <w:bottom w:val="single" w:color="auto" w:sz="10" w:space="0"/>
              <w:right w:val="single" w:color="auto" w:sz="10" w:space="0"/>
              <w:insideV w:val="single" w:sz="10" w:space="0"/>
            </w:tcBorders>
            <w:vAlign w:val="center"/>
          </w:tcPr>
          <w:p w14:paraId="020CE1A9">
            <w:pPr>
              <w:snapToGrid w:val="0"/>
              <w:jc w:val="center"/>
            </w:pPr>
            <w:r>
              <w:rPr>
                <w:rFonts w:ascii="宋体" w:hAnsi="宋体" w:eastAsia="宋体"/>
                <w:sz w:val="16"/>
              </w:rPr>
              <w:t>585.30</w:t>
            </w:r>
          </w:p>
        </w:tc>
        <w:tc>
          <w:tcPr>
            <w:tcW w:w="745" w:type="pct"/>
            <w:tcBorders>
              <w:top w:val="single" w:color="auto" w:sz="10" w:space="0"/>
              <w:left w:val="single" w:color="auto" w:sz="10" w:space="0"/>
              <w:bottom w:val="single" w:color="auto" w:sz="10" w:space="0"/>
              <w:right w:val="single" w:color="auto" w:sz="10" w:space="0"/>
              <w:insideV w:val="single" w:sz="10" w:space="0"/>
            </w:tcBorders>
            <w:vAlign w:val="center"/>
          </w:tcPr>
          <w:p w14:paraId="70907D99">
            <w:pPr>
              <w:snapToGrid w:val="0"/>
              <w:jc w:val="center"/>
            </w:pPr>
            <w:r>
              <w:rPr>
                <w:rFonts w:ascii="宋体" w:hAnsi="宋体" w:eastAsia="宋体"/>
                <w:sz w:val="16"/>
              </w:rPr>
              <w:t>1,102.23</w:t>
            </w:r>
          </w:p>
        </w:tc>
        <w:tc>
          <w:tcPr>
            <w:tcW w:w="712" w:type="pct"/>
            <w:tcBorders>
              <w:top w:val="single" w:color="auto" w:sz="10" w:space="0"/>
              <w:left w:val="single" w:color="auto" w:sz="10" w:space="0"/>
              <w:bottom w:val="single" w:color="auto" w:sz="10" w:space="0"/>
              <w:right w:val="single" w:color="auto" w:sz="10" w:space="0"/>
              <w:insideV w:val="single" w:sz="10" w:space="0"/>
            </w:tcBorders>
            <w:vAlign w:val="center"/>
          </w:tcPr>
          <w:p w14:paraId="0A58567F">
            <w:pPr>
              <w:snapToGrid w:val="0"/>
              <w:jc w:val="center"/>
            </w:pPr>
            <w:r>
              <w:rPr>
                <w:rFonts w:ascii="宋体" w:hAnsi="宋体" w:eastAsia="宋体"/>
                <w:sz w:val="16"/>
              </w:rPr>
              <w:t>861.56</w:t>
            </w:r>
          </w:p>
        </w:tc>
        <w:tc>
          <w:tcPr>
            <w:tcW w:w="386" w:type="pct"/>
            <w:tcBorders>
              <w:top w:val="single" w:color="auto" w:sz="10" w:space="0"/>
              <w:left w:val="single" w:color="auto" w:sz="10" w:space="0"/>
              <w:bottom w:val="single" w:color="auto" w:sz="10" w:space="0"/>
              <w:right w:val="single" w:color="auto" w:sz="10" w:space="0"/>
              <w:insideV w:val="single" w:sz="10" w:space="0"/>
            </w:tcBorders>
            <w:vAlign w:val="center"/>
          </w:tcPr>
          <w:p w14:paraId="067E26FD">
            <w:pPr>
              <w:snapToGrid w:val="0"/>
              <w:jc w:val="center"/>
            </w:pPr>
            <w:r>
              <w:rPr>
                <w:rFonts w:ascii="宋体" w:hAnsi="宋体" w:eastAsia="宋体"/>
                <w:sz w:val="16"/>
              </w:rPr>
              <w:t>-</w:t>
            </w:r>
          </w:p>
        </w:tc>
        <w:tc>
          <w:tcPr>
            <w:tcW w:w="701" w:type="pct"/>
            <w:tcBorders>
              <w:top w:val="single" w:color="auto" w:sz="10" w:space="0"/>
              <w:left w:val="single" w:color="auto" w:sz="10" w:space="0"/>
              <w:bottom w:val="single" w:color="auto" w:sz="10" w:space="0"/>
              <w:right w:val="single" w:color="auto" w:sz="10" w:space="0"/>
              <w:insideV w:val="single" w:sz="10" w:space="0"/>
            </w:tcBorders>
            <w:vAlign w:val="center"/>
          </w:tcPr>
          <w:p w14:paraId="21B5F804">
            <w:pPr>
              <w:snapToGrid w:val="0"/>
              <w:jc w:val="center"/>
            </w:pPr>
            <w:r>
              <w:rPr>
                <w:rFonts w:ascii="宋体" w:hAnsi="宋体" w:eastAsia="宋体"/>
                <w:sz w:val="16"/>
              </w:rPr>
              <w:t>-</w:t>
            </w:r>
          </w:p>
        </w:tc>
        <w:tc>
          <w:tcPr>
            <w:tcW w:w="437" w:type="pct"/>
            <w:tcBorders>
              <w:top w:val="single" w:color="auto" w:sz="10" w:space="0"/>
              <w:left w:val="single" w:color="auto" w:sz="10" w:space="0"/>
              <w:bottom w:val="single" w:color="auto" w:sz="10" w:space="0"/>
              <w:right w:val="single" w:color="auto" w:sz="10" w:space="0"/>
              <w:insideV w:val="single" w:sz="10" w:space="0"/>
            </w:tcBorders>
            <w:vAlign w:val="center"/>
          </w:tcPr>
          <w:p w14:paraId="188F1EDC">
            <w:pPr>
              <w:snapToGrid w:val="0"/>
              <w:jc w:val="center"/>
            </w:pPr>
            <w:r>
              <w:rPr>
                <w:rFonts w:ascii="宋体" w:hAnsi="宋体" w:eastAsia="宋体"/>
                <w:sz w:val="16"/>
              </w:rPr>
              <w:t>-</w:t>
            </w:r>
          </w:p>
        </w:tc>
      </w:tr>
      <w:tr w14:paraId="4F5DCFBA">
        <w:tblPrEx>
          <w:tblCellMar>
            <w:top w:w="32" w:type="dxa"/>
            <w:left w:w="64" w:type="dxa"/>
            <w:bottom w:w="32" w:type="dxa"/>
            <w:right w:w="64" w:type="dxa"/>
          </w:tblCellMar>
        </w:tblPrEx>
        <w:trPr>
          <w:trHeight w:val="0" w:hRule="atLeast"/>
          <w:jc w:val="center"/>
        </w:trPr>
        <w:tc>
          <w:tcPr>
            <w:tcW w:w="297" w:type="pct"/>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FE1655">
            <w:pPr>
              <w:snapToGrid w:val="0"/>
              <w:jc w:val="center"/>
            </w:pPr>
            <w:r>
              <w:rPr>
                <w:rFonts w:ascii="宋体" w:hAnsi="宋体" w:eastAsia="宋体"/>
                <w:sz w:val="16"/>
              </w:rPr>
              <w:t>年度总体目标</w:t>
            </w:r>
          </w:p>
        </w:tc>
        <w:tc>
          <w:tcPr>
            <w:tcW w:w="1719" w:type="pct"/>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88DDD45">
            <w:pPr>
              <w:snapToGrid w:val="0"/>
              <w:jc w:val="center"/>
            </w:pPr>
            <w:r>
              <w:rPr>
                <w:rFonts w:ascii="宋体" w:hAnsi="宋体" w:eastAsia="宋体"/>
                <w:sz w:val="16"/>
              </w:rPr>
              <w:t>预期目标</w:t>
            </w:r>
          </w:p>
        </w:tc>
        <w:tc>
          <w:tcPr>
            <w:tcW w:w="2983" w:type="pct"/>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ED0C157">
            <w:pPr>
              <w:snapToGrid w:val="0"/>
              <w:jc w:val="center"/>
            </w:pPr>
            <w:r>
              <w:rPr>
                <w:rFonts w:ascii="宋体" w:hAnsi="宋体" w:eastAsia="宋体"/>
                <w:sz w:val="16"/>
              </w:rPr>
              <w:t>实际完成情况</w:t>
            </w:r>
          </w:p>
        </w:tc>
      </w:tr>
      <w:tr w14:paraId="3256853E">
        <w:tblPrEx>
          <w:tblCellMar>
            <w:top w:w="32" w:type="dxa"/>
            <w:left w:w="64" w:type="dxa"/>
            <w:bottom w:w="32" w:type="dxa"/>
            <w:right w:w="64" w:type="dxa"/>
          </w:tblCellMar>
        </w:tblPrEx>
        <w:trPr>
          <w:trHeight w:val="0" w:hRule="atLeast"/>
          <w:jc w:val="center"/>
        </w:trPr>
        <w:tc>
          <w:tcPr>
            <w:tcW w:w="297" w:type="pct"/>
            <w:vMerge w:val="continue"/>
            <w:tcBorders>
              <w:top w:val="single" w:color="auto" w:sz="10" w:space="0"/>
              <w:left w:val="single" w:color="auto" w:sz="10" w:space="0"/>
              <w:bottom w:val="single" w:color="auto" w:sz="10" w:space="0"/>
              <w:right w:val="single" w:color="auto" w:sz="10" w:space="0"/>
              <w:insideV w:val="single" w:sz="10" w:space="0"/>
            </w:tcBorders>
          </w:tcPr>
          <w:p w14:paraId="5AE8867D">
            <w:pPr>
              <w:snapToGrid w:val="0"/>
            </w:pPr>
          </w:p>
        </w:tc>
        <w:tc>
          <w:tcPr>
            <w:tcW w:w="1719" w:type="pct"/>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220C260">
            <w:pPr>
              <w:snapToGrid w:val="0"/>
              <w:jc w:val="both"/>
            </w:pPr>
            <w:r>
              <w:rPr>
                <w:rFonts w:ascii="宋体" w:hAnsi="宋体" w:eastAsia="宋体"/>
                <w:sz w:val="16"/>
              </w:rPr>
              <w:t>做实做细做深我乡国家基本公共卫生服务，强化基础性服务项目，对居民健康问题实施干预，减少主要健康危险因数，有效预防和控制主要传染病和慢性病，加强专业技术队伍培训，确保项目管理及规范实施，建立健全覆盖农村居民的基本公共卫生服务网站，全面提高基本公共卫生服务项目质量。</w:t>
            </w:r>
          </w:p>
        </w:tc>
        <w:tc>
          <w:tcPr>
            <w:tcW w:w="2983" w:type="pct"/>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EAD215C">
            <w:pPr>
              <w:snapToGrid w:val="0"/>
              <w:jc w:val="both"/>
            </w:pPr>
            <w:r>
              <w:rPr>
                <w:rFonts w:hint="eastAsia" w:ascii="宋体" w:hAnsi="宋体"/>
                <w:sz w:val="16"/>
                <w:lang w:eastAsia="zh-CN"/>
              </w:rPr>
              <w:t>截至</w:t>
            </w:r>
            <w:r>
              <w:rPr>
                <w:rFonts w:ascii="宋体" w:hAnsi="宋体" w:eastAsia="宋体"/>
                <w:sz w:val="16"/>
              </w:rPr>
              <w:t>自评节点，我卫生院做实做细做深了我乡国家基本公共卫生服务，强化基础性服务项目，对居民健康问题实施干预，减少主要健康危险因数，有效预防和控制主要</w:t>
            </w:r>
            <w:bookmarkStart w:id="0" w:name="_GoBack"/>
            <w:r>
              <w:rPr>
                <w:rFonts w:ascii="宋体" w:hAnsi="宋体" w:eastAsia="宋体"/>
                <w:sz w:val="16"/>
              </w:rPr>
              <w:t>传染病</w:t>
            </w:r>
            <w:bookmarkEnd w:id="0"/>
            <w:r>
              <w:rPr>
                <w:rFonts w:ascii="宋体" w:hAnsi="宋体" w:eastAsia="宋体"/>
                <w:sz w:val="16"/>
              </w:rPr>
              <w:t>和慢性病，加强专业技术队伍培训，确保项目管理及规范实施，建立健全覆盖农村居民的基本公共卫生服务网站，全面提高基本公共卫生服务项目质量。基本经费成本控制在449.03万元、项目支出成本控制118.45万元，重性精神病患者管理率达到了97.06%、新生儿建卡率、建证率、卡证符合率达到了99.22%，65岁以上老年人健康管理率达到了95%、结核病患者转诊率达到了100%、慢病控制率为79%、新生儿访视率、儿童健康管理率、早孕建册率、产后访视率、电子健康档案建档率达到了97.44%。</w:t>
            </w:r>
          </w:p>
        </w:tc>
      </w:tr>
      <w:tr w14:paraId="41E2226C">
        <w:tblPrEx>
          <w:tblCellMar>
            <w:top w:w="32" w:type="dxa"/>
            <w:left w:w="64" w:type="dxa"/>
            <w:bottom w:w="32" w:type="dxa"/>
            <w:right w:w="64" w:type="dxa"/>
          </w:tblCellMar>
        </w:tblPrEx>
        <w:trPr>
          <w:trHeight w:val="0" w:hRule="atLeast"/>
          <w:jc w:val="center"/>
        </w:trPr>
        <w:tc>
          <w:tcPr>
            <w:tcW w:w="297" w:type="pct"/>
            <w:tcBorders>
              <w:top w:val="single" w:color="auto" w:sz="10" w:space="0"/>
              <w:left w:val="single" w:color="auto" w:sz="10" w:space="0"/>
              <w:bottom w:val="single" w:color="auto" w:sz="10" w:space="0"/>
              <w:right w:val="single" w:color="auto" w:sz="10" w:space="0"/>
              <w:insideV w:val="single" w:sz="10" w:space="0"/>
            </w:tcBorders>
            <w:vAlign w:val="center"/>
          </w:tcPr>
          <w:p w14:paraId="097373AE">
            <w:pPr>
              <w:snapToGrid w:val="0"/>
              <w:jc w:val="center"/>
            </w:pPr>
            <w:r>
              <w:rPr>
                <w:rFonts w:ascii="宋体" w:hAnsi="宋体" w:eastAsia="宋体"/>
                <w:sz w:val="16"/>
              </w:rPr>
              <w:t>一级指标</w:t>
            </w:r>
          </w:p>
        </w:tc>
        <w:tc>
          <w:tcPr>
            <w:tcW w:w="751" w:type="pct"/>
            <w:tcBorders>
              <w:top w:val="single" w:color="auto" w:sz="10" w:space="0"/>
              <w:left w:val="single" w:color="auto" w:sz="10" w:space="0"/>
              <w:bottom w:val="single" w:color="auto" w:sz="10" w:space="0"/>
              <w:right w:val="single" w:color="auto" w:sz="10" w:space="0"/>
              <w:insideV w:val="single" w:sz="10" w:space="0"/>
            </w:tcBorders>
            <w:vAlign w:val="center"/>
          </w:tcPr>
          <w:p w14:paraId="4D93414D">
            <w:pPr>
              <w:snapToGrid w:val="0"/>
              <w:jc w:val="center"/>
            </w:pPr>
            <w:r>
              <w:rPr>
                <w:rFonts w:ascii="宋体" w:hAnsi="宋体" w:eastAsia="宋体"/>
                <w:sz w:val="16"/>
              </w:rPr>
              <w:t>二级指标</w:t>
            </w:r>
          </w:p>
        </w:tc>
        <w:tc>
          <w:tcPr>
            <w:tcW w:w="968" w:type="pct"/>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0371CD">
            <w:pPr>
              <w:snapToGrid w:val="0"/>
              <w:jc w:val="center"/>
            </w:pPr>
            <w:r>
              <w:rPr>
                <w:rFonts w:ascii="宋体" w:hAnsi="宋体" w:eastAsia="宋体"/>
                <w:sz w:val="16"/>
              </w:rPr>
              <w:t>三级指标</w:t>
            </w:r>
          </w:p>
        </w:tc>
        <w:tc>
          <w:tcPr>
            <w:tcW w:w="745" w:type="pct"/>
            <w:tcBorders>
              <w:top w:val="single" w:color="auto" w:sz="10" w:space="0"/>
              <w:left w:val="single" w:color="auto" w:sz="10" w:space="0"/>
              <w:bottom w:val="single" w:color="auto" w:sz="10" w:space="0"/>
              <w:right w:val="single" w:color="auto" w:sz="10" w:space="0"/>
              <w:insideV w:val="single" w:sz="10" w:space="0"/>
            </w:tcBorders>
            <w:vAlign w:val="center"/>
          </w:tcPr>
          <w:p w14:paraId="19EC94C7">
            <w:pPr>
              <w:snapToGrid w:val="0"/>
              <w:jc w:val="center"/>
            </w:pPr>
            <w:r>
              <w:rPr>
                <w:rFonts w:ascii="宋体" w:hAnsi="宋体" w:eastAsia="宋体"/>
                <w:sz w:val="16"/>
              </w:rPr>
              <w:t>预期指标值</w:t>
            </w:r>
          </w:p>
        </w:tc>
        <w:tc>
          <w:tcPr>
            <w:tcW w:w="712" w:type="pct"/>
            <w:tcBorders>
              <w:top w:val="single" w:color="auto" w:sz="10" w:space="0"/>
              <w:left w:val="single" w:color="auto" w:sz="10" w:space="0"/>
              <w:bottom w:val="single" w:color="auto" w:sz="10" w:space="0"/>
              <w:right w:val="single" w:color="auto" w:sz="10" w:space="0"/>
              <w:insideV w:val="single" w:sz="10" w:space="0"/>
            </w:tcBorders>
            <w:vAlign w:val="center"/>
          </w:tcPr>
          <w:p w14:paraId="2B3D8F22">
            <w:pPr>
              <w:snapToGrid w:val="0"/>
              <w:jc w:val="center"/>
            </w:pPr>
            <w:r>
              <w:rPr>
                <w:rFonts w:ascii="宋体" w:hAnsi="宋体" w:eastAsia="宋体"/>
                <w:sz w:val="16"/>
              </w:rPr>
              <w:t>指标值设定依据</w:t>
            </w:r>
          </w:p>
        </w:tc>
        <w:tc>
          <w:tcPr>
            <w:tcW w:w="386" w:type="pct"/>
            <w:tcBorders>
              <w:top w:val="single" w:color="auto" w:sz="10" w:space="0"/>
              <w:left w:val="single" w:color="auto" w:sz="10" w:space="0"/>
              <w:bottom w:val="single" w:color="auto" w:sz="10" w:space="0"/>
              <w:right w:val="single" w:color="auto" w:sz="10" w:space="0"/>
              <w:insideV w:val="single" w:sz="10" w:space="0"/>
            </w:tcBorders>
            <w:vAlign w:val="center"/>
          </w:tcPr>
          <w:p w14:paraId="79AA70C2">
            <w:pPr>
              <w:snapToGrid w:val="0"/>
              <w:jc w:val="center"/>
            </w:pPr>
            <w:r>
              <w:rPr>
                <w:rFonts w:ascii="宋体" w:hAnsi="宋体" w:eastAsia="宋体"/>
                <w:sz w:val="16"/>
              </w:rPr>
              <w:t>分值权重</w:t>
            </w:r>
          </w:p>
        </w:tc>
        <w:tc>
          <w:tcPr>
            <w:tcW w:w="701" w:type="pct"/>
            <w:tcBorders>
              <w:top w:val="single" w:color="auto" w:sz="10" w:space="0"/>
              <w:left w:val="single" w:color="auto" w:sz="10" w:space="0"/>
              <w:bottom w:val="single" w:color="auto" w:sz="10" w:space="0"/>
              <w:right w:val="single" w:color="auto" w:sz="10" w:space="0"/>
              <w:insideV w:val="single" w:sz="10" w:space="0"/>
            </w:tcBorders>
            <w:vAlign w:val="center"/>
          </w:tcPr>
          <w:p w14:paraId="42EBB902">
            <w:pPr>
              <w:snapToGrid w:val="0"/>
              <w:jc w:val="center"/>
            </w:pPr>
            <w:r>
              <w:rPr>
                <w:rFonts w:ascii="宋体" w:hAnsi="宋体" w:eastAsia="宋体"/>
                <w:sz w:val="16"/>
              </w:rPr>
              <w:t>实际完成指标值</w:t>
            </w:r>
          </w:p>
        </w:tc>
        <w:tc>
          <w:tcPr>
            <w:tcW w:w="437" w:type="pct"/>
            <w:tcBorders>
              <w:top w:val="single" w:color="auto" w:sz="10" w:space="0"/>
              <w:left w:val="single" w:color="auto" w:sz="10" w:space="0"/>
              <w:bottom w:val="single" w:color="auto" w:sz="10" w:space="0"/>
              <w:right w:val="single" w:color="auto" w:sz="10" w:space="0"/>
              <w:insideV w:val="single" w:sz="10" w:space="0"/>
            </w:tcBorders>
            <w:vAlign w:val="center"/>
          </w:tcPr>
          <w:p w14:paraId="175D540D">
            <w:pPr>
              <w:snapToGrid w:val="0"/>
              <w:jc w:val="center"/>
            </w:pPr>
            <w:r>
              <w:rPr>
                <w:rFonts w:ascii="宋体" w:hAnsi="宋体" w:eastAsia="宋体"/>
                <w:sz w:val="16"/>
              </w:rPr>
              <w:t>得分</w:t>
            </w:r>
          </w:p>
        </w:tc>
      </w:tr>
      <w:tr w14:paraId="26C42E46">
        <w:tblPrEx>
          <w:tblCellMar>
            <w:top w:w="32" w:type="dxa"/>
            <w:left w:w="64" w:type="dxa"/>
            <w:bottom w:w="32" w:type="dxa"/>
            <w:right w:w="64" w:type="dxa"/>
          </w:tblCellMar>
        </w:tblPrEx>
        <w:trPr>
          <w:trHeight w:val="0" w:hRule="atLeast"/>
          <w:jc w:val="center"/>
        </w:trPr>
        <w:tc>
          <w:tcPr>
            <w:tcW w:w="297" w:type="pct"/>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4F1C4D">
            <w:pPr>
              <w:snapToGrid w:val="0"/>
              <w:jc w:val="center"/>
            </w:pPr>
            <w:r>
              <w:rPr>
                <w:rFonts w:ascii="宋体" w:hAnsi="宋体" w:eastAsia="宋体"/>
                <w:sz w:val="16"/>
              </w:rPr>
              <w:t>运行成本</w:t>
            </w:r>
          </w:p>
        </w:tc>
        <w:tc>
          <w:tcPr>
            <w:tcW w:w="751" w:type="pct"/>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DF9867">
            <w:pPr>
              <w:snapToGrid w:val="0"/>
              <w:jc w:val="center"/>
            </w:pPr>
            <w:r>
              <w:rPr>
                <w:rFonts w:ascii="宋体" w:hAnsi="宋体" w:eastAsia="宋体"/>
                <w:sz w:val="16"/>
              </w:rPr>
              <w:t>成本指标</w:t>
            </w:r>
          </w:p>
        </w:tc>
        <w:tc>
          <w:tcPr>
            <w:tcW w:w="968" w:type="pct"/>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0D2979">
            <w:pPr>
              <w:snapToGrid w:val="0"/>
              <w:jc w:val="center"/>
            </w:pPr>
            <w:r>
              <w:rPr>
                <w:rFonts w:ascii="宋体" w:hAnsi="宋体" w:eastAsia="宋体"/>
                <w:sz w:val="16"/>
              </w:rPr>
              <w:t>基本经费成本控制</w:t>
            </w:r>
          </w:p>
        </w:tc>
        <w:tc>
          <w:tcPr>
            <w:tcW w:w="745" w:type="pct"/>
            <w:tcBorders>
              <w:top w:val="single" w:color="auto" w:sz="10" w:space="0"/>
              <w:left w:val="single" w:color="auto" w:sz="10" w:space="0"/>
              <w:bottom w:val="single" w:color="auto" w:sz="10" w:space="0"/>
              <w:right w:val="single" w:color="auto" w:sz="10" w:space="0"/>
              <w:insideV w:val="single" w:sz="10" w:space="0"/>
            </w:tcBorders>
            <w:vAlign w:val="center"/>
          </w:tcPr>
          <w:p w14:paraId="7B08B74F">
            <w:pPr>
              <w:snapToGrid w:val="0"/>
              <w:jc w:val="center"/>
            </w:pPr>
            <w:r>
              <w:rPr>
                <w:rFonts w:ascii="宋体" w:hAnsi="宋体" w:eastAsia="宋体"/>
                <w:sz w:val="16"/>
              </w:rPr>
              <w:t>&lt;=449.03万元</w:t>
            </w:r>
          </w:p>
        </w:tc>
        <w:tc>
          <w:tcPr>
            <w:tcW w:w="712" w:type="pct"/>
            <w:tcBorders>
              <w:top w:val="single" w:color="auto" w:sz="10" w:space="0"/>
              <w:left w:val="single" w:color="auto" w:sz="10" w:space="0"/>
              <w:bottom w:val="single" w:color="auto" w:sz="10" w:space="0"/>
              <w:right w:val="single" w:color="auto" w:sz="10" w:space="0"/>
              <w:insideV w:val="single" w:sz="10" w:space="0"/>
            </w:tcBorders>
            <w:vAlign w:val="center"/>
          </w:tcPr>
          <w:p w14:paraId="3BFBE6A1">
            <w:pPr>
              <w:snapToGrid w:val="0"/>
              <w:jc w:val="center"/>
            </w:pPr>
            <w:r>
              <w:rPr>
                <w:rFonts w:ascii="宋体" w:hAnsi="宋体" w:eastAsia="宋体"/>
                <w:sz w:val="16"/>
              </w:rPr>
              <w:t>2024年预算批复</w:t>
            </w:r>
          </w:p>
        </w:tc>
        <w:tc>
          <w:tcPr>
            <w:tcW w:w="386" w:type="pct"/>
            <w:tcBorders>
              <w:top w:val="single" w:color="auto" w:sz="10" w:space="0"/>
              <w:left w:val="single" w:color="auto" w:sz="10" w:space="0"/>
              <w:bottom w:val="single" w:color="auto" w:sz="10" w:space="0"/>
              <w:right w:val="single" w:color="auto" w:sz="10" w:space="0"/>
              <w:insideV w:val="single" w:sz="10" w:space="0"/>
            </w:tcBorders>
            <w:vAlign w:val="center"/>
          </w:tcPr>
          <w:p w14:paraId="6AEDBE11">
            <w:pPr>
              <w:snapToGrid w:val="0"/>
              <w:jc w:val="center"/>
            </w:pPr>
            <w:r>
              <w:rPr>
                <w:rFonts w:ascii="宋体" w:hAnsi="宋体" w:eastAsia="宋体"/>
                <w:sz w:val="16"/>
              </w:rPr>
              <w:t>9</w:t>
            </w:r>
          </w:p>
        </w:tc>
        <w:tc>
          <w:tcPr>
            <w:tcW w:w="701" w:type="pct"/>
            <w:tcBorders>
              <w:top w:val="single" w:color="auto" w:sz="10" w:space="0"/>
              <w:left w:val="single" w:color="auto" w:sz="10" w:space="0"/>
              <w:bottom w:val="single" w:color="auto" w:sz="10" w:space="0"/>
              <w:right w:val="single" w:color="auto" w:sz="10" w:space="0"/>
              <w:insideV w:val="single" w:sz="10" w:space="0"/>
            </w:tcBorders>
            <w:vAlign w:val="center"/>
          </w:tcPr>
          <w:p w14:paraId="777F71DA">
            <w:pPr>
              <w:snapToGrid w:val="0"/>
              <w:jc w:val="center"/>
            </w:pPr>
            <w:r>
              <w:rPr>
                <w:rFonts w:ascii="宋体" w:hAnsi="宋体" w:eastAsia="宋体"/>
                <w:sz w:val="16"/>
              </w:rPr>
              <w:t>449.03万元</w:t>
            </w:r>
          </w:p>
        </w:tc>
        <w:tc>
          <w:tcPr>
            <w:tcW w:w="437" w:type="pct"/>
            <w:tcBorders>
              <w:top w:val="single" w:color="auto" w:sz="10" w:space="0"/>
              <w:left w:val="single" w:color="auto" w:sz="10" w:space="0"/>
              <w:bottom w:val="single" w:color="auto" w:sz="10" w:space="0"/>
              <w:right w:val="single" w:color="auto" w:sz="10" w:space="0"/>
              <w:insideV w:val="single" w:sz="10" w:space="0"/>
            </w:tcBorders>
            <w:vAlign w:val="center"/>
          </w:tcPr>
          <w:p w14:paraId="393EEC96">
            <w:pPr>
              <w:snapToGrid w:val="0"/>
              <w:jc w:val="center"/>
            </w:pPr>
            <w:r>
              <w:rPr>
                <w:rFonts w:ascii="宋体" w:hAnsi="宋体" w:eastAsia="宋体"/>
                <w:sz w:val="16"/>
              </w:rPr>
              <w:t>9</w:t>
            </w:r>
          </w:p>
        </w:tc>
      </w:tr>
      <w:tr w14:paraId="1BE1A4FE">
        <w:tblPrEx>
          <w:tblCellMar>
            <w:top w:w="32" w:type="dxa"/>
            <w:left w:w="64" w:type="dxa"/>
            <w:bottom w:w="32" w:type="dxa"/>
            <w:right w:w="64" w:type="dxa"/>
          </w:tblCellMar>
        </w:tblPrEx>
        <w:trPr>
          <w:trHeight w:val="0" w:hRule="atLeast"/>
          <w:jc w:val="center"/>
        </w:trPr>
        <w:tc>
          <w:tcPr>
            <w:tcW w:w="297" w:type="pct"/>
            <w:vMerge w:val="continue"/>
            <w:tcBorders>
              <w:top w:val="single" w:color="auto" w:sz="10" w:space="0"/>
              <w:left w:val="single" w:color="auto" w:sz="10" w:space="0"/>
              <w:bottom w:val="single" w:color="auto" w:sz="10" w:space="0"/>
              <w:right w:val="single" w:color="auto" w:sz="10" w:space="0"/>
              <w:insideV w:val="single" w:sz="10" w:space="0"/>
            </w:tcBorders>
          </w:tcPr>
          <w:p w14:paraId="77A78ABD">
            <w:pPr>
              <w:snapToGrid w:val="0"/>
            </w:pPr>
          </w:p>
        </w:tc>
        <w:tc>
          <w:tcPr>
            <w:tcW w:w="751" w:type="pct"/>
            <w:vMerge w:val="continue"/>
            <w:tcBorders>
              <w:top w:val="single" w:color="auto" w:sz="10" w:space="0"/>
              <w:left w:val="single" w:color="auto" w:sz="10" w:space="0"/>
              <w:bottom w:val="single" w:color="auto" w:sz="10" w:space="0"/>
              <w:right w:val="single" w:color="auto" w:sz="10" w:space="0"/>
              <w:insideV w:val="single" w:sz="10" w:space="0"/>
            </w:tcBorders>
          </w:tcPr>
          <w:p w14:paraId="07640FDC">
            <w:pPr>
              <w:snapToGrid w:val="0"/>
            </w:pPr>
          </w:p>
        </w:tc>
        <w:tc>
          <w:tcPr>
            <w:tcW w:w="968" w:type="pct"/>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2A8007">
            <w:pPr>
              <w:snapToGrid w:val="0"/>
              <w:jc w:val="center"/>
            </w:pPr>
            <w:r>
              <w:rPr>
                <w:rFonts w:ascii="宋体" w:hAnsi="宋体" w:eastAsia="宋体"/>
                <w:sz w:val="16"/>
              </w:rPr>
              <w:t>项目支出成本控制</w:t>
            </w:r>
          </w:p>
        </w:tc>
        <w:tc>
          <w:tcPr>
            <w:tcW w:w="745" w:type="pct"/>
            <w:tcBorders>
              <w:top w:val="single" w:color="auto" w:sz="10" w:space="0"/>
              <w:left w:val="single" w:color="auto" w:sz="10" w:space="0"/>
              <w:bottom w:val="single" w:color="auto" w:sz="10" w:space="0"/>
              <w:right w:val="single" w:color="auto" w:sz="10" w:space="0"/>
              <w:insideV w:val="single" w:sz="10" w:space="0"/>
            </w:tcBorders>
            <w:vAlign w:val="center"/>
          </w:tcPr>
          <w:p w14:paraId="16B3B4A3">
            <w:pPr>
              <w:snapToGrid w:val="0"/>
              <w:jc w:val="center"/>
            </w:pPr>
            <w:r>
              <w:rPr>
                <w:rFonts w:ascii="宋体" w:hAnsi="宋体" w:eastAsia="宋体"/>
                <w:sz w:val="16"/>
              </w:rPr>
              <w:t>&lt;=136.27万元</w:t>
            </w:r>
          </w:p>
        </w:tc>
        <w:tc>
          <w:tcPr>
            <w:tcW w:w="712" w:type="pct"/>
            <w:tcBorders>
              <w:top w:val="single" w:color="auto" w:sz="10" w:space="0"/>
              <w:left w:val="single" w:color="auto" w:sz="10" w:space="0"/>
              <w:bottom w:val="single" w:color="auto" w:sz="10" w:space="0"/>
              <w:right w:val="single" w:color="auto" w:sz="10" w:space="0"/>
              <w:insideV w:val="single" w:sz="10" w:space="0"/>
            </w:tcBorders>
            <w:vAlign w:val="center"/>
          </w:tcPr>
          <w:p w14:paraId="575CC7DC">
            <w:pPr>
              <w:snapToGrid w:val="0"/>
              <w:jc w:val="center"/>
            </w:pPr>
            <w:r>
              <w:rPr>
                <w:rFonts w:ascii="宋体" w:hAnsi="宋体" w:eastAsia="宋体"/>
                <w:sz w:val="16"/>
              </w:rPr>
              <w:t>2024年预算批复</w:t>
            </w:r>
          </w:p>
        </w:tc>
        <w:tc>
          <w:tcPr>
            <w:tcW w:w="386" w:type="pct"/>
            <w:tcBorders>
              <w:top w:val="single" w:color="auto" w:sz="10" w:space="0"/>
              <w:left w:val="single" w:color="auto" w:sz="10" w:space="0"/>
              <w:bottom w:val="single" w:color="auto" w:sz="10" w:space="0"/>
              <w:right w:val="single" w:color="auto" w:sz="10" w:space="0"/>
              <w:insideV w:val="single" w:sz="10" w:space="0"/>
            </w:tcBorders>
            <w:vAlign w:val="center"/>
          </w:tcPr>
          <w:p w14:paraId="6F4C0FDE">
            <w:pPr>
              <w:snapToGrid w:val="0"/>
              <w:jc w:val="center"/>
            </w:pPr>
            <w:r>
              <w:rPr>
                <w:rFonts w:ascii="宋体" w:hAnsi="宋体" w:eastAsia="宋体"/>
                <w:sz w:val="16"/>
              </w:rPr>
              <w:t>9</w:t>
            </w:r>
          </w:p>
        </w:tc>
        <w:tc>
          <w:tcPr>
            <w:tcW w:w="701" w:type="pct"/>
            <w:tcBorders>
              <w:top w:val="single" w:color="auto" w:sz="10" w:space="0"/>
              <w:left w:val="single" w:color="auto" w:sz="10" w:space="0"/>
              <w:bottom w:val="single" w:color="auto" w:sz="10" w:space="0"/>
              <w:right w:val="single" w:color="auto" w:sz="10" w:space="0"/>
              <w:insideV w:val="single" w:sz="10" w:space="0"/>
            </w:tcBorders>
            <w:vAlign w:val="center"/>
          </w:tcPr>
          <w:p w14:paraId="7E5F247F">
            <w:pPr>
              <w:snapToGrid w:val="0"/>
              <w:jc w:val="center"/>
            </w:pPr>
            <w:r>
              <w:rPr>
                <w:rFonts w:ascii="宋体" w:hAnsi="宋体" w:eastAsia="宋体"/>
                <w:sz w:val="16"/>
              </w:rPr>
              <w:t>118.45万元</w:t>
            </w:r>
          </w:p>
        </w:tc>
        <w:tc>
          <w:tcPr>
            <w:tcW w:w="437" w:type="pct"/>
            <w:tcBorders>
              <w:top w:val="single" w:color="auto" w:sz="10" w:space="0"/>
              <w:left w:val="single" w:color="auto" w:sz="10" w:space="0"/>
              <w:bottom w:val="single" w:color="auto" w:sz="10" w:space="0"/>
              <w:right w:val="single" w:color="auto" w:sz="10" w:space="0"/>
              <w:insideV w:val="single" w:sz="10" w:space="0"/>
            </w:tcBorders>
            <w:vAlign w:val="center"/>
          </w:tcPr>
          <w:p w14:paraId="63ACCEAA">
            <w:pPr>
              <w:snapToGrid w:val="0"/>
              <w:jc w:val="center"/>
            </w:pPr>
            <w:r>
              <w:rPr>
                <w:rFonts w:ascii="宋体" w:hAnsi="宋体" w:eastAsia="宋体"/>
                <w:sz w:val="16"/>
              </w:rPr>
              <w:t>7.82</w:t>
            </w:r>
          </w:p>
        </w:tc>
      </w:tr>
      <w:tr w14:paraId="69CB4D05">
        <w:tblPrEx>
          <w:tblCellMar>
            <w:top w:w="32" w:type="dxa"/>
            <w:left w:w="64" w:type="dxa"/>
            <w:bottom w:w="32" w:type="dxa"/>
            <w:right w:w="64" w:type="dxa"/>
          </w:tblCellMar>
        </w:tblPrEx>
        <w:trPr>
          <w:trHeight w:val="0" w:hRule="atLeast"/>
          <w:jc w:val="center"/>
        </w:trPr>
        <w:tc>
          <w:tcPr>
            <w:tcW w:w="297" w:type="pct"/>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5753F4">
            <w:pPr>
              <w:snapToGrid w:val="0"/>
              <w:jc w:val="center"/>
            </w:pPr>
            <w:r>
              <w:rPr>
                <w:rFonts w:ascii="宋体" w:hAnsi="宋体" w:eastAsia="宋体"/>
                <w:sz w:val="16"/>
              </w:rPr>
              <w:t>履职效能</w:t>
            </w:r>
          </w:p>
        </w:tc>
        <w:tc>
          <w:tcPr>
            <w:tcW w:w="751" w:type="pct"/>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6AE76C">
            <w:pPr>
              <w:snapToGrid w:val="0"/>
              <w:jc w:val="center"/>
            </w:pPr>
            <w:r>
              <w:rPr>
                <w:rFonts w:ascii="宋体" w:hAnsi="宋体" w:eastAsia="宋体"/>
                <w:sz w:val="16"/>
              </w:rPr>
              <w:t>数量指标</w:t>
            </w:r>
          </w:p>
        </w:tc>
        <w:tc>
          <w:tcPr>
            <w:tcW w:w="968" w:type="pct"/>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651E5B">
            <w:pPr>
              <w:snapToGrid w:val="0"/>
              <w:jc w:val="center"/>
            </w:pPr>
            <w:r>
              <w:rPr>
                <w:rFonts w:ascii="宋体" w:hAnsi="宋体" w:eastAsia="宋体"/>
                <w:sz w:val="16"/>
              </w:rPr>
              <w:t>重性精神病患者管理率</w:t>
            </w:r>
          </w:p>
        </w:tc>
        <w:tc>
          <w:tcPr>
            <w:tcW w:w="745" w:type="pct"/>
            <w:tcBorders>
              <w:top w:val="single" w:color="auto" w:sz="10" w:space="0"/>
              <w:left w:val="single" w:color="auto" w:sz="10" w:space="0"/>
              <w:bottom w:val="single" w:color="auto" w:sz="10" w:space="0"/>
              <w:right w:val="single" w:color="auto" w:sz="10" w:space="0"/>
              <w:insideV w:val="single" w:sz="10" w:space="0"/>
            </w:tcBorders>
            <w:vAlign w:val="center"/>
          </w:tcPr>
          <w:p w14:paraId="09FCA571">
            <w:pPr>
              <w:snapToGrid w:val="0"/>
              <w:jc w:val="center"/>
            </w:pPr>
            <w:r>
              <w:rPr>
                <w:rFonts w:ascii="宋体" w:hAnsi="宋体" w:eastAsia="宋体"/>
                <w:sz w:val="16"/>
              </w:rPr>
              <w:t>=100%%</w:t>
            </w:r>
          </w:p>
        </w:tc>
        <w:tc>
          <w:tcPr>
            <w:tcW w:w="712" w:type="pct"/>
            <w:tcBorders>
              <w:top w:val="single" w:color="auto" w:sz="10" w:space="0"/>
              <w:left w:val="single" w:color="auto" w:sz="10" w:space="0"/>
              <w:bottom w:val="single" w:color="auto" w:sz="10" w:space="0"/>
              <w:right w:val="single" w:color="auto" w:sz="10" w:space="0"/>
              <w:insideV w:val="single" w:sz="10" w:space="0"/>
            </w:tcBorders>
            <w:vAlign w:val="center"/>
          </w:tcPr>
          <w:p w14:paraId="694A055A">
            <w:pPr>
              <w:snapToGrid w:val="0"/>
              <w:jc w:val="center"/>
            </w:pPr>
            <w:r>
              <w:rPr>
                <w:rFonts w:ascii="宋体" w:hAnsi="宋体" w:eastAsia="宋体"/>
                <w:sz w:val="16"/>
              </w:rPr>
              <w:t>2024年工作计划</w:t>
            </w:r>
          </w:p>
        </w:tc>
        <w:tc>
          <w:tcPr>
            <w:tcW w:w="386" w:type="pct"/>
            <w:tcBorders>
              <w:top w:val="single" w:color="auto" w:sz="10" w:space="0"/>
              <w:left w:val="single" w:color="auto" w:sz="10" w:space="0"/>
              <w:bottom w:val="single" w:color="auto" w:sz="10" w:space="0"/>
              <w:right w:val="single" w:color="auto" w:sz="10" w:space="0"/>
              <w:insideV w:val="single" w:sz="10" w:space="0"/>
            </w:tcBorders>
            <w:vAlign w:val="center"/>
          </w:tcPr>
          <w:p w14:paraId="6D957258">
            <w:pPr>
              <w:snapToGrid w:val="0"/>
              <w:jc w:val="center"/>
            </w:pPr>
            <w:r>
              <w:rPr>
                <w:rFonts w:ascii="宋体" w:hAnsi="宋体" w:eastAsia="宋体"/>
                <w:sz w:val="16"/>
              </w:rPr>
              <w:t>12</w:t>
            </w:r>
          </w:p>
        </w:tc>
        <w:tc>
          <w:tcPr>
            <w:tcW w:w="701" w:type="pct"/>
            <w:tcBorders>
              <w:top w:val="single" w:color="auto" w:sz="10" w:space="0"/>
              <w:left w:val="single" w:color="auto" w:sz="10" w:space="0"/>
              <w:bottom w:val="single" w:color="auto" w:sz="10" w:space="0"/>
              <w:right w:val="single" w:color="auto" w:sz="10" w:space="0"/>
              <w:insideV w:val="single" w:sz="10" w:space="0"/>
            </w:tcBorders>
            <w:vAlign w:val="center"/>
          </w:tcPr>
          <w:p w14:paraId="735BDF26">
            <w:pPr>
              <w:snapToGrid w:val="0"/>
              <w:jc w:val="center"/>
            </w:pPr>
            <w:r>
              <w:rPr>
                <w:rFonts w:ascii="宋体" w:hAnsi="宋体" w:eastAsia="宋体"/>
                <w:sz w:val="16"/>
              </w:rPr>
              <w:t>97.06%</w:t>
            </w:r>
          </w:p>
        </w:tc>
        <w:tc>
          <w:tcPr>
            <w:tcW w:w="437" w:type="pct"/>
            <w:tcBorders>
              <w:top w:val="single" w:color="auto" w:sz="10" w:space="0"/>
              <w:left w:val="single" w:color="auto" w:sz="10" w:space="0"/>
              <w:bottom w:val="single" w:color="auto" w:sz="10" w:space="0"/>
              <w:right w:val="single" w:color="auto" w:sz="10" w:space="0"/>
              <w:insideV w:val="single" w:sz="10" w:space="0"/>
            </w:tcBorders>
            <w:vAlign w:val="center"/>
          </w:tcPr>
          <w:p w14:paraId="2401C5F7">
            <w:pPr>
              <w:snapToGrid w:val="0"/>
              <w:jc w:val="center"/>
            </w:pPr>
            <w:r>
              <w:rPr>
                <w:rFonts w:ascii="宋体" w:hAnsi="宋体" w:eastAsia="宋体"/>
                <w:sz w:val="16"/>
              </w:rPr>
              <w:t>11.65</w:t>
            </w:r>
          </w:p>
        </w:tc>
      </w:tr>
      <w:tr w14:paraId="2F6E289F">
        <w:tblPrEx>
          <w:tblCellMar>
            <w:top w:w="32" w:type="dxa"/>
            <w:left w:w="64" w:type="dxa"/>
            <w:bottom w:w="32" w:type="dxa"/>
            <w:right w:w="64" w:type="dxa"/>
          </w:tblCellMar>
        </w:tblPrEx>
        <w:trPr>
          <w:trHeight w:val="0" w:hRule="atLeast"/>
          <w:jc w:val="center"/>
        </w:trPr>
        <w:tc>
          <w:tcPr>
            <w:tcW w:w="297" w:type="pct"/>
            <w:vMerge w:val="continue"/>
            <w:tcBorders>
              <w:top w:val="single" w:color="auto" w:sz="10" w:space="0"/>
              <w:left w:val="single" w:color="auto" w:sz="10" w:space="0"/>
              <w:bottom w:val="single" w:color="auto" w:sz="10" w:space="0"/>
              <w:right w:val="single" w:color="auto" w:sz="10" w:space="0"/>
              <w:insideV w:val="single" w:sz="10" w:space="0"/>
            </w:tcBorders>
          </w:tcPr>
          <w:p w14:paraId="7FE517D2">
            <w:pPr>
              <w:snapToGrid w:val="0"/>
            </w:pPr>
          </w:p>
        </w:tc>
        <w:tc>
          <w:tcPr>
            <w:tcW w:w="751" w:type="pct"/>
            <w:vMerge w:val="continue"/>
            <w:tcBorders>
              <w:top w:val="single" w:color="auto" w:sz="10" w:space="0"/>
              <w:left w:val="single" w:color="auto" w:sz="10" w:space="0"/>
              <w:bottom w:val="single" w:color="auto" w:sz="10" w:space="0"/>
              <w:right w:val="single" w:color="auto" w:sz="10" w:space="0"/>
              <w:insideV w:val="single" w:sz="10" w:space="0"/>
            </w:tcBorders>
          </w:tcPr>
          <w:p w14:paraId="61BBE50A">
            <w:pPr>
              <w:snapToGrid w:val="0"/>
            </w:pPr>
          </w:p>
        </w:tc>
        <w:tc>
          <w:tcPr>
            <w:tcW w:w="968" w:type="pct"/>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600312">
            <w:pPr>
              <w:snapToGrid w:val="0"/>
              <w:jc w:val="center"/>
            </w:pPr>
            <w:r>
              <w:rPr>
                <w:rFonts w:ascii="宋体" w:hAnsi="宋体" w:eastAsia="宋体"/>
                <w:sz w:val="16"/>
              </w:rPr>
              <w:t>新生儿建卡率、建证率、卡证符合率</w:t>
            </w:r>
          </w:p>
        </w:tc>
        <w:tc>
          <w:tcPr>
            <w:tcW w:w="745" w:type="pct"/>
            <w:tcBorders>
              <w:top w:val="single" w:color="auto" w:sz="10" w:space="0"/>
              <w:left w:val="single" w:color="auto" w:sz="10" w:space="0"/>
              <w:bottom w:val="single" w:color="auto" w:sz="10" w:space="0"/>
              <w:right w:val="single" w:color="auto" w:sz="10" w:space="0"/>
              <w:insideV w:val="single" w:sz="10" w:space="0"/>
            </w:tcBorders>
            <w:vAlign w:val="center"/>
          </w:tcPr>
          <w:p w14:paraId="2C570318">
            <w:pPr>
              <w:snapToGrid w:val="0"/>
              <w:jc w:val="center"/>
            </w:pPr>
            <w:r>
              <w:rPr>
                <w:rFonts w:ascii="宋体" w:hAnsi="宋体" w:eastAsia="宋体"/>
                <w:sz w:val="16"/>
              </w:rPr>
              <w:t>&gt;=100%</w:t>
            </w:r>
          </w:p>
        </w:tc>
        <w:tc>
          <w:tcPr>
            <w:tcW w:w="712" w:type="pct"/>
            <w:tcBorders>
              <w:top w:val="single" w:color="auto" w:sz="10" w:space="0"/>
              <w:left w:val="single" w:color="auto" w:sz="10" w:space="0"/>
              <w:bottom w:val="single" w:color="auto" w:sz="10" w:space="0"/>
              <w:right w:val="single" w:color="auto" w:sz="10" w:space="0"/>
              <w:insideV w:val="single" w:sz="10" w:space="0"/>
            </w:tcBorders>
            <w:vAlign w:val="center"/>
          </w:tcPr>
          <w:p w14:paraId="3503EEE5">
            <w:pPr>
              <w:snapToGrid w:val="0"/>
              <w:jc w:val="center"/>
            </w:pPr>
            <w:r>
              <w:rPr>
                <w:rFonts w:ascii="宋体" w:hAnsi="宋体" w:eastAsia="宋体"/>
                <w:sz w:val="16"/>
              </w:rPr>
              <w:t>2024年工作计划</w:t>
            </w:r>
          </w:p>
        </w:tc>
        <w:tc>
          <w:tcPr>
            <w:tcW w:w="386" w:type="pct"/>
            <w:tcBorders>
              <w:top w:val="single" w:color="auto" w:sz="10" w:space="0"/>
              <w:left w:val="single" w:color="auto" w:sz="10" w:space="0"/>
              <w:bottom w:val="single" w:color="auto" w:sz="10" w:space="0"/>
              <w:right w:val="single" w:color="auto" w:sz="10" w:space="0"/>
              <w:insideV w:val="single" w:sz="10" w:space="0"/>
            </w:tcBorders>
            <w:vAlign w:val="center"/>
          </w:tcPr>
          <w:p w14:paraId="2965CC59">
            <w:pPr>
              <w:snapToGrid w:val="0"/>
              <w:jc w:val="center"/>
            </w:pPr>
            <w:r>
              <w:rPr>
                <w:rFonts w:ascii="宋体" w:hAnsi="宋体" w:eastAsia="宋体"/>
                <w:sz w:val="16"/>
              </w:rPr>
              <w:t>12</w:t>
            </w:r>
          </w:p>
        </w:tc>
        <w:tc>
          <w:tcPr>
            <w:tcW w:w="701" w:type="pct"/>
            <w:tcBorders>
              <w:top w:val="single" w:color="auto" w:sz="10" w:space="0"/>
              <w:left w:val="single" w:color="auto" w:sz="10" w:space="0"/>
              <w:bottom w:val="single" w:color="auto" w:sz="10" w:space="0"/>
              <w:right w:val="single" w:color="auto" w:sz="10" w:space="0"/>
              <w:insideV w:val="single" w:sz="10" w:space="0"/>
            </w:tcBorders>
            <w:vAlign w:val="center"/>
          </w:tcPr>
          <w:p w14:paraId="4B55D91A">
            <w:pPr>
              <w:snapToGrid w:val="0"/>
              <w:jc w:val="center"/>
            </w:pPr>
            <w:r>
              <w:rPr>
                <w:rFonts w:ascii="宋体" w:hAnsi="宋体" w:eastAsia="宋体"/>
                <w:sz w:val="16"/>
              </w:rPr>
              <w:t>99.22%</w:t>
            </w:r>
          </w:p>
        </w:tc>
        <w:tc>
          <w:tcPr>
            <w:tcW w:w="437" w:type="pct"/>
            <w:tcBorders>
              <w:top w:val="single" w:color="auto" w:sz="10" w:space="0"/>
              <w:left w:val="single" w:color="auto" w:sz="10" w:space="0"/>
              <w:bottom w:val="single" w:color="auto" w:sz="10" w:space="0"/>
              <w:right w:val="single" w:color="auto" w:sz="10" w:space="0"/>
              <w:insideV w:val="single" w:sz="10" w:space="0"/>
            </w:tcBorders>
            <w:vAlign w:val="center"/>
          </w:tcPr>
          <w:p w14:paraId="10095B2F">
            <w:pPr>
              <w:snapToGrid w:val="0"/>
              <w:jc w:val="center"/>
            </w:pPr>
            <w:r>
              <w:rPr>
                <w:rFonts w:ascii="宋体" w:hAnsi="宋体" w:eastAsia="宋体"/>
                <w:sz w:val="16"/>
              </w:rPr>
              <w:t>11.91</w:t>
            </w:r>
          </w:p>
        </w:tc>
      </w:tr>
      <w:tr w14:paraId="5B9D297E">
        <w:tblPrEx>
          <w:tblCellMar>
            <w:top w:w="32" w:type="dxa"/>
            <w:left w:w="64" w:type="dxa"/>
            <w:bottom w:w="32" w:type="dxa"/>
            <w:right w:w="64" w:type="dxa"/>
          </w:tblCellMar>
        </w:tblPrEx>
        <w:trPr>
          <w:trHeight w:val="0" w:hRule="atLeast"/>
          <w:jc w:val="center"/>
        </w:trPr>
        <w:tc>
          <w:tcPr>
            <w:tcW w:w="297" w:type="pct"/>
            <w:vMerge w:val="continue"/>
            <w:tcBorders>
              <w:top w:val="single" w:color="auto" w:sz="10" w:space="0"/>
              <w:left w:val="single" w:color="auto" w:sz="10" w:space="0"/>
              <w:bottom w:val="single" w:color="auto" w:sz="10" w:space="0"/>
              <w:right w:val="single" w:color="auto" w:sz="10" w:space="0"/>
              <w:insideV w:val="single" w:sz="10" w:space="0"/>
            </w:tcBorders>
          </w:tcPr>
          <w:p w14:paraId="64214B5C">
            <w:pPr>
              <w:snapToGrid w:val="0"/>
            </w:pPr>
          </w:p>
        </w:tc>
        <w:tc>
          <w:tcPr>
            <w:tcW w:w="751" w:type="pct"/>
            <w:vMerge w:val="continue"/>
            <w:tcBorders>
              <w:top w:val="single" w:color="auto" w:sz="10" w:space="0"/>
              <w:left w:val="single" w:color="auto" w:sz="10" w:space="0"/>
              <w:bottom w:val="single" w:color="auto" w:sz="10" w:space="0"/>
              <w:right w:val="single" w:color="auto" w:sz="10" w:space="0"/>
              <w:insideV w:val="single" w:sz="10" w:space="0"/>
            </w:tcBorders>
          </w:tcPr>
          <w:p w14:paraId="049DF9DC">
            <w:pPr>
              <w:snapToGrid w:val="0"/>
            </w:pPr>
          </w:p>
        </w:tc>
        <w:tc>
          <w:tcPr>
            <w:tcW w:w="968" w:type="pct"/>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DC3A85">
            <w:pPr>
              <w:snapToGrid w:val="0"/>
              <w:jc w:val="center"/>
            </w:pPr>
            <w:r>
              <w:rPr>
                <w:rFonts w:ascii="宋体" w:hAnsi="宋体" w:eastAsia="宋体"/>
                <w:sz w:val="16"/>
              </w:rPr>
              <w:t>65岁以上老年人健康管理率</w:t>
            </w:r>
          </w:p>
        </w:tc>
        <w:tc>
          <w:tcPr>
            <w:tcW w:w="745" w:type="pct"/>
            <w:tcBorders>
              <w:top w:val="single" w:color="auto" w:sz="10" w:space="0"/>
              <w:left w:val="single" w:color="auto" w:sz="10" w:space="0"/>
              <w:bottom w:val="single" w:color="auto" w:sz="10" w:space="0"/>
              <w:right w:val="single" w:color="auto" w:sz="10" w:space="0"/>
              <w:insideV w:val="single" w:sz="10" w:space="0"/>
            </w:tcBorders>
            <w:vAlign w:val="center"/>
          </w:tcPr>
          <w:p w14:paraId="2C857F7B">
            <w:pPr>
              <w:snapToGrid w:val="0"/>
              <w:jc w:val="center"/>
            </w:pPr>
            <w:r>
              <w:rPr>
                <w:rFonts w:ascii="宋体" w:hAnsi="宋体" w:eastAsia="宋体"/>
                <w:sz w:val="16"/>
              </w:rPr>
              <w:t>&gt;95%</w:t>
            </w:r>
          </w:p>
        </w:tc>
        <w:tc>
          <w:tcPr>
            <w:tcW w:w="712" w:type="pct"/>
            <w:tcBorders>
              <w:top w:val="single" w:color="auto" w:sz="10" w:space="0"/>
              <w:left w:val="single" w:color="auto" w:sz="10" w:space="0"/>
              <w:bottom w:val="single" w:color="auto" w:sz="10" w:space="0"/>
              <w:right w:val="single" w:color="auto" w:sz="10" w:space="0"/>
              <w:insideV w:val="single" w:sz="10" w:space="0"/>
            </w:tcBorders>
            <w:vAlign w:val="center"/>
          </w:tcPr>
          <w:p w14:paraId="7C6FEE82">
            <w:pPr>
              <w:snapToGrid w:val="0"/>
              <w:jc w:val="center"/>
            </w:pPr>
            <w:r>
              <w:rPr>
                <w:rFonts w:ascii="宋体" w:hAnsi="宋体" w:eastAsia="宋体"/>
                <w:sz w:val="16"/>
              </w:rPr>
              <w:t>2024年工作计划</w:t>
            </w:r>
          </w:p>
        </w:tc>
        <w:tc>
          <w:tcPr>
            <w:tcW w:w="386" w:type="pct"/>
            <w:tcBorders>
              <w:top w:val="single" w:color="auto" w:sz="10" w:space="0"/>
              <w:left w:val="single" w:color="auto" w:sz="10" w:space="0"/>
              <w:bottom w:val="single" w:color="auto" w:sz="10" w:space="0"/>
              <w:right w:val="single" w:color="auto" w:sz="10" w:space="0"/>
              <w:insideV w:val="single" w:sz="10" w:space="0"/>
            </w:tcBorders>
            <w:vAlign w:val="center"/>
          </w:tcPr>
          <w:p w14:paraId="2FF68E72">
            <w:pPr>
              <w:snapToGrid w:val="0"/>
              <w:jc w:val="center"/>
            </w:pPr>
            <w:r>
              <w:rPr>
                <w:rFonts w:ascii="宋体" w:hAnsi="宋体" w:eastAsia="宋体"/>
                <w:sz w:val="16"/>
              </w:rPr>
              <w:t>12</w:t>
            </w:r>
          </w:p>
        </w:tc>
        <w:tc>
          <w:tcPr>
            <w:tcW w:w="701" w:type="pct"/>
            <w:tcBorders>
              <w:top w:val="single" w:color="auto" w:sz="10" w:space="0"/>
              <w:left w:val="single" w:color="auto" w:sz="10" w:space="0"/>
              <w:bottom w:val="single" w:color="auto" w:sz="10" w:space="0"/>
              <w:right w:val="single" w:color="auto" w:sz="10" w:space="0"/>
              <w:insideV w:val="single" w:sz="10" w:space="0"/>
            </w:tcBorders>
            <w:vAlign w:val="center"/>
          </w:tcPr>
          <w:p w14:paraId="166DEC88">
            <w:pPr>
              <w:snapToGrid w:val="0"/>
              <w:jc w:val="center"/>
            </w:pPr>
            <w:r>
              <w:rPr>
                <w:rFonts w:ascii="宋体" w:hAnsi="宋体" w:eastAsia="宋体"/>
                <w:sz w:val="16"/>
              </w:rPr>
              <w:t>95%</w:t>
            </w:r>
          </w:p>
        </w:tc>
        <w:tc>
          <w:tcPr>
            <w:tcW w:w="437" w:type="pct"/>
            <w:tcBorders>
              <w:top w:val="single" w:color="auto" w:sz="10" w:space="0"/>
              <w:left w:val="single" w:color="auto" w:sz="10" w:space="0"/>
              <w:bottom w:val="single" w:color="auto" w:sz="10" w:space="0"/>
              <w:right w:val="single" w:color="auto" w:sz="10" w:space="0"/>
              <w:insideV w:val="single" w:sz="10" w:space="0"/>
            </w:tcBorders>
            <w:vAlign w:val="center"/>
          </w:tcPr>
          <w:p w14:paraId="622C01EB">
            <w:pPr>
              <w:snapToGrid w:val="0"/>
              <w:jc w:val="center"/>
            </w:pPr>
            <w:r>
              <w:rPr>
                <w:rFonts w:ascii="宋体" w:hAnsi="宋体" w:eastAsia="宋体"/>
                <w:sz w:val="16"/>
              </w:rPr>
              <w:t>12</w:t>
            </w:r>
          </w:p>
        </w:tc>
      </w:tr>
      <w:tr w14:paraId="271EB229">
        <w:tblPrEx>
          <w:tblCellMar>
            <w:top w:w="32" w:type="dxa"/>
            <w:left w:w="64" w:type="dxa"/>
            <w:bottom w:w="32" w:type="dxa"/>
            <w:right w:w="64" w:type="dxa"/>
          </w:tblCellMar>
        </w:tblPrEx>
        <w:trPr>
          <w:trHeight w:val="0" w:hRule="atLeast"/>
          <w:jc w:val="center"/>
        </w:trPr>
        <w:tc>
          <w:tcPr>
            <w:tcW w:w="297" w:type="pct"/>
            <w:vMerge w:val="continue"/>
            <w:tcBorders>
              <w:top w:val="single" w:color="auto" w:sz="10" w:space="0"/>
              <w:left w:val="single" w:color="auto" w:sz="10" w:space="0"/>
              <w:bottom w:val="single" w:color="auto" w:sz="10" w:space="0"/>
              <w:right w:val="single" w:color="auto" w:sz="10" w:space="0"/>
              <w:insideV w:val="single" w:sz="10" w:space="0"/>
            </w:tcBorders>
          </w:tcPr>
          <w:p w14:paraId="41ABDBB7">
            <w:pPr>
              <w:snapToGrid w:val="0"/>
            </w:pPr>
          </w:p>
        </w:tc>
        <w:tc>
          <w:tcPr>
            <w:tcW w:w="751" w:type="pct"/>
            <w:vMerge w:val="continue"/>
            <w:tcBorders>
              <w:top w:val="single" w:color="auto" w:sz="10" w:space="0"/>
              <w:left w:val="single" w:color="auto" w:sz="10" w:space="0"/>
              <w:bottom w:val="single" w:color="auto" w:sz="10" w:space="0"/>
              <w:right w:val="single" w:color="auto" w:sz="10" w:space="0"/>
              <w:insideV w:val="single" w:sz="10" w:space="0"/>
            </w:tcBorders>
          </w:tcPr>
          <w:p w14:paraId="0D0E4C2F">
            <w:pPr>
              <w:snapToGrid w:val="0"/>
            </w:pPr>
          </w:p>
        </w:tc>
        <w:tc>
          <w:tcPr>
            <w:tcW w:w="968" w:type="pct"/>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306CF7">
            <w:pPr>
              <w:snapToGrid w:val="0"/>
              <w:jc w:val="center"/>
            </w:pPr>
            <w:r>
              <w:rPr>
                <w:rFonts w:ascii="宋体" w:hAnsi="宋体" w:eastAsia="宋体"/>
                <w:sz w:val="16"/>
              </w:rPr>
              <w:t>结核病患者转诊率</w:t>
            </w:r>
          </w:p>
        </w:tc>
        <w:tc>
          <w:tcPr>
            <w:tcW w:w="745" w:type="pct"/>
            <w:tcBorders>
              <w:top w:val="single" w:color="auto" w:sz="10" w:space="0"/>
              <w:left w:val="single" w:color="auto" w:sz="10" w:space="0"/>
              <w:bottom w:val="single" w:color="auto" w:sz="10" w:space="0"/>
              <w:right w:val="single" w:color="auto" w:sz="10" w:space="0"/>
              <w:insideV w:val="single" w:sz="10" w:space="0"/>
            </w:tcBorders>
            <w:vAlign w:val="center"/>
          </w:tcPr>
          <w:p w14:paraId="4B5FD839">
            <w:pPr>
              <w:snapToGrid w:val="0"/>
              <w:jc w:val="center"/>
            </w:pPr>
            <w:r>
              <w:rPr>
                <w:rFonts w:ascii="宋体" w:hAnsi="宋体" w:eastAsia="宋体"/>
                <w:sz w:val="16"/>
              </w:rPr>
              <w:t>=100%</w:t>
            </w:r>
          </w:p>
        </w:tc>
        <w:tc>
          <w:tcPr>
            <w:tcW w:w="712" w:type="pct"/>
            <w:tcBorders>
              <w:top w:val="single" w:color="auto" w:sz="10" w:space="0"/>
              <w:left w:val="single" w:color="auto" w:sz="10" w:space="0"/>
              <w:bottom w:val="single" w:color="auto" w:sz="10" w:space="0"/>
              <w:right w:val="single" w:color="auto" w:sz="10" w:space="0"/>
              <w:insideV w:val="single" w:sz="10" w:space="0"/>
            </w:tcBorders>
            <w:vAlign w:val="center"/>
          </w:tcPr>
          <w:p w14:paraId="09CD2087">
            <w:pPr>
              <w:snapToGrid w:val="0"/>
              <w:jc w:val="center"/>
            </w:pPr>
            <w:r>
              <w:rPr>
                <w:rFonts w:ascii="宋体" w:hAnsi="宋体" w:eastAsia="宋体"/>
                <w:sz w:val="16"/>
              </w:rPr>
              <w:t>2024年工作计划</w:t>
            </w:r>
          </w:p>
        </w:tc>
        <w:tc>
          <w:tcPr>
            <w:tcW w:w="386" w:type="pct"/>
            <w:tcBorders>
              <w:top w:val="single" w:color="auto" w:sz="10" w:space="0"/>
              <w:left w:val="single" w:color="auto" w:sz="10" w:space="0"/>
              <w:bottom w:val="single" w:color="auto" w:sz="10" w:space="0"/>
              <w:right w:val="single" w:color="auto" w:sz="10" w:space="0"/>
              <w:insideV w:val="single" w:sz="10" w:space="0"/>
            </w:tcBorders>
            <w:vAlign w:val="center"/>
          </w:tcPr>
          <w:p w14:paraId="3C30E04D">
            <w:pPr>
              <w:snapToGrid w:val="0"/>
              <w:jc w:val="center"/>
            </w:pPr>
            <w:r>
              <w:rPr>
                <w:rFonts w:ascii="宋体" w:hAnsi="宋体" w:eastAsia="宋体"/>
                <w:sz w:val="16"/>
              </w:rPr>
              <w:t>12</w:t>
            </w:r>
          </w:p>
        </w:tc>
        <w:tc>
          <w:tcPr>
            <w:tcW w:w="701" w:type="pct"/>
            <w:tcBorders>
              <w:top w:val="single" w:color="auto" w:sz="10" w:space="0"/>
              <w:left w:val="single" w:color="auto" w:sz="10" w:space="0"/>
              <w:bottom w:val="single" w:color="auto" w:sz="10" w:space="0"/>
              <w:right w:val="single" w:color="auto" w:sz="10" w:space="0"/>
              <w:insideV w:val="single" w:sz="10" w:space="0"/>
            </w:tcBorders>
            <w:vAlign w:val="center"/>
          </w:tcPr>
          <w:p w14:paraId="49B80770">
            <w:pPr>
              <w:snapToGrid w:val="0"/>
              <w:jc w:val="center"/>
            </w:pPr>
            <w:r>
              <w:rPr>
                <w:rFonts w:ascii="宋体" w:hAnsi="宋体" w:eastAsia="宋体"/>
                <w:sz w:val="16"/>
              </w:rPr>
              <w:t>100%</w:t>
            </w:r>
          </w:p>
        </w:tc>
        <w:tc>
          <w:tcPr>
            <w:tcW w:w="437" w:type="pct"/>
            <w:tcBorders>
              <w:top w:val="single" w:color="auto" w:sz="10" w:space="0"/>
              <w:left w:val="single" w:color="auto" w:sz="10" w:space="0"/>
              <w:bottom w:val="single" w:color="auto" w:sz="10" w:space="0"/>
              <w:right w:val="single" w:color="auto" w:sz="10" w:space="0"/>
              <w:insideV w:val="single" w:sz="10" w:space="0"/>
            </w:tcBorders>
            <w:vAlign w:val="center"/>
          </w:tcPr>
          <w:p w14:paraId="4B64A750">
            <w:pPr>
              <w:snapToGrid w:val="0"/>
              <w:jc w:val="center"/>
            </w:pPr>
            <w:r>
              <w:rPr>
                <w:rFonts w:ascii="宋体" w:hAnsi="宋体" w:eastAsia="宋体"/>
                <w:sz w:val="16"/>
              </w:rPr>
              <w:t>12</w:t>
            </w:r>
          </w:p>
        </w:tc>
      </w:tr>
      <w:tr w14:paraId="693E73F6">
        <w:tblPrEx>
          <w:tblCellMar>
            <w:top w:w="32" w:type="dxa"/>
            <w:left w:w="64" w:type="dxa"/>
            <w:bottom w:w="32" w:type="dxa"/>
            <w:right w:w="64" w:type="dxa"/>
          </w:tblCellMar>
        </w:tblPrEx>
        <w:trPr>
          <w:trHeight w:val="0" w:hRule="atLeast"/>
          <w:jc w:val="center"/>
        </w:trPr>
        <w:tc>
          <w:tcPr>
            <w:tcW w:w="297" w:type="pct"/>
            <w:vMerge w:val="continue"/>
            <w:tcBorders>
              <w:top w:val="single" w:color="auto" w:sz="10" w:space="0"/>
              <w:left w:val="single" w:color="auto" w:sz="10" w:space="0"/>
              <w:bottom w:val="single" w:color="auto" w:sz="10" w:space="0"/>
              <w:right w:val="single" w:color="auto" w:sz="10" w:space="0"/>
              <w:insideV w:val="single" w:sz="10" w:space="0"/>
            </w:tcBorders>
          </w:tcPr>
          <w:p w14:paraId="1D544E61">
            <w:pPr>
              <w:snapToGrid w:val="0"/>
            </w:pPr>
          </w:p>
        </w:tc>
        <w:tc>
          <w:tcPr>
            <w:tcW w:w="751" w:type="pct"/>
            <w:vMerge w:val="continue"/>
            <w:tcBorders>
              <w:top w:val="single" w:color="auto" w:sz="10" w:space="0"/>
              <w:left w:val="single" w:color="auto" w:sz="10" w:space="0"/>
              <w:bottom w:val="single" w:color="auto" w:sz="10" w:space="0"/>
              <w:right w:val="single" w:color="auto" w:sz="10" w:space="0"/>
              <w:insideV w:val="single" w:sz="10" w:space="0"/>
            </w:tcBorders>
          </w:tcPr>
          <w:p w14:paraId="02C78E25">
            <w:pPr>
              <w:snapToGrid w:val="0"/>
            </w:pPr>
          </w:p>
        </w:tc>
        <w:tc>
          <w:tcPr>
            <w:tcW w:w="968" w:type="pct"/>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3C4D99">
            <w:pPr>
              <w:snapToGrid w:val="0"/>
              <w:jc w:val="center"/>
            </w:pPr>
            <w:r>
              <w:rPr>
                <w:rFonts w:ascii="宋体" w:hAnsi="宋体" w:eastAsia="宋体"/>
                <w:sz w:val="16"/>
              </w:rPr>
              <w:t>慢病控制率</w:t>
            </w:r>
          </w:p>
        </w:tc>
        <w:tc>
          <w:tcPr>
            <w:tcW w:w="745" w:type="pct"/>
            <w:tcBorders>
              <w:top w:val="single" w:color="auto" w:sz="10" w:space="0"/>
              <w:left w:val="single" w:color="auto" w:sz="10" w:space="0"/>
              <w:bottom w:val="single" w:color="auto" w:sz="10" w:space="0"/>
              <w:right w:val="single" w:color="auto" w:sz="10" w:space="0"/>
              <w:insideV w:val="single" w:sz="10" w:space="0"/>
            </w:tcBorders>
            <w:vAlign w:val="center"/>
          </w:tcPr>
          <w:p w14:paraId="435747EB">
            <w:pPr>
              <w:snapToGrid w:val="0"/>
              <w:jc w:val="center"/>
            </w:pPr>
            <w:r>
              <w:rPr>
                <w:rFonts w:ascii="宋体" w:hAnsi="宋体" w:eastAsia="宋体"/>
                <w:sz w:val="16"/>
              </w:rPr>
              <w:t>&gt;70%</w:t>
            </w:r>
          </w:p>
        </w:tc>
        <w:tc>
          <w:tcPr>
            <w:tcW w:w="712" w:type="pct"/>
            <w:tcBorders>
              <w:top w:val="single" w:color="auto" w:sz="10" w:space="0"/>
              <w:left w:val="single" w:color="auto" w:sz="10" w:space="0"/>
              <w:bottom w:val="single" w:color="auto" w:sz="10" w:space="0"/>
              <w:right w:val="single" w:color="auto" w:sz="10" w:space="0"/>
              <w:insideV w:val="single" w:sz="10" w:space="0"/>
            </w:tcBorders>
            <w:vAlign w:val="center"/>
          </w:tcPr>
          <w:p w14:paraId="38DD7A90">
            <w:pPr>
              <w:snapToGrid w:val="0"/>
              <w:jc w:val="center"/>
            </w:pPr>
            <w:r>
              <w:rPr>
                <w:rFonts w:ascii="宋体" w:hAnsi="宋体" w:eastAsia="宋体"/>
                <w:sz w:val="16"/>
              </w:rPr>
              <w:t>2024年工作计划</w:t>
            </w:r>
          </w:p>
        </w:tc>
        <w:tc>
          <w:tcPr>
            <w:tcW w:w="386" w:type="pct"/>
            <w:tcBorders>
              <w:top w:val="single" w:color="auto" w:sz="10" w:space="0"/>
              <w:left w:val="single" w:color="auto" w:sz="10" w:space="0"/>
              <w:bottom w:val="single" w:color="auto" w:sz="10" w:space="0"/>
              <w:right w:val="single" w:color="auto" w:sz="10" w:space="0"/>
              <w:insideV w:val="single" w:sz="10" w:space="0"/>
            </w:tcBorders>
            <w:vAlign w:val="center"/>
          </w:tcPr>
          <w:p w14:paraId="701FF82F">
            <w:pPr>
              <w:snapToGrid w:val="0"/>
              <w:jc w:val="center"/>
            </w:pPr>
            <w:r>
              <w:rPr>
                <w:rFonts w:ascii="宋体" w:hAnsi="宋体" w:eastAsia="宋体"/>
                <w:sz w:val="16"/>
              </w:rPr>
              <w:t>12</w:t>
            </w:r>
          </w:p>
        </w:tc>
        <w:tc>
          <w:tcPr>
            <w:tcW w:w="701" w:type="pct"/>
            <w:tcBorders>
              <w:top w:val="single" w:color="auto" w:sz="10" w:space="0"/>
              <w:left w:val="single" w:color="auto" w:sz="10" w:space="0"/>
              <w:bottom w:val="single" w:color="auto" w:sz="10" w:space="0"/>
              <w:right w:val="single" w:color="auto" w:sz="10" w:space="0"/>
              <w:insideV w:val="single" w:sz="10" w:space="0"/>
            </w:tcBorders>
            <w:vAlign w:val="center"/>
          </w:tcPr>
          <w:p w14:paraId="6B65A2C3">
            <w:pPr>
              <w:snapToGrid w:val="0"/>
              <w:jc w:val="center"/>
            </w:pPr>
            <w:r>
              <w:rPr>
                <w:rFonts w:ascii="宋体" w:hAnsi="宋体" w:eastAsia="宋体"/>
                <w:sz w:val="16"/>
              </w:rPr>
              <w:t>79%</w:t>
            </w:r>
          </w:p>
        </w:tc>
        <w:tc>
          <w:tcPr>
            <w:tcW w:w="437" w:type="pct"/>
            <w:tcBorders>
              <w:top w:val="single" w:color="auto" w:sz="10" w:space="0"/>
              <w:left w:val="single" w:color="auto" w:sz="10" w:space="0"/>
              <w:bottom w:val="single" w:color="auto" w:sz="10" w:space="0"/>
              <w:right w:val="single" w:color="auto" w:sz="10" w:space="0"/>
              <w:insideV w:val="single" w:sz="10" w:space="0"/>
            </w:tcBorders>
            <w:vAlign w:val="center"/>
          </w:tcPr>
          <w:p w14:paraId="7116A502">
            <w:pPr>
              <w:snapToGrid w:val="0"/>
              <w:jc w:val="center"/>
            </w:pPr>
            <w:r>
              <w:rPr>
                <w:rFonts w:ascii="宋体" w:hAnsi="宋体" w:eastAsia="宋体"/>
                <w:sz w:val="16"/>
              </w:rPr>
              <w:t>12</w:t>
            </w:r>
          </w:p>
        </w:tc>
      </w:tr>
      <w:tr w14:paraId="24EBD0A6">
        <w:tblPrEx>
          <w:tblCellMar>
            <w:top w:w="32" w:type="dxa"/>
            <w:left w:w="64" w:type="dxa"/>
            <w:bottom w:w="32" w:type="dxa"/>
            <w:right w:w="64" w:type="dxa"/>
          </w:tblCellMar>
        </w:tblPrEx>
        <w:trPr>
          <w:trHeight w:val="0" w:hRule="atLeast"/>
          <w:jc w:val="center"/>
        </w:trPr>
        <w:tc>
          <w:tcPr>
            <w:tcW w:w="297" w:type="pct"/>
            <w:vMerge w:val="continue"/>
            <w:tcBorders>
              <w:top w:val="single" w:color="auto" w:sz="10" w:space="0"/>
              <w:left w:val="single" w:color="auto" w:sz="10" w:space="0"/>
              <w:bottom w:val="single" w:color="auto" w:sz="10" w:space="0"/>
              <w:right w:val="single" w:color="auto" w:sz="10" w:space="0"/>
              <w:insideV w:val="single" w:sz="10" w:space="0"/>
            </w:tcBorders>
          </w:tcPr>
          <w:p w14:paraId="5965B803">
            <w:pPr>
              <w:snapToGrid w:val="0"/>
            </w:pPr>
          </w:p>
        </w:tc>
        <w:tc>
          <w:tcPr>
            <w:tcW w:w="751" w:type="pct"/>
            <w:vMerge w:val="continue"/>
            <w:tcBorders>
              <w:top w:val="single" w:color="auto" w:sz="10" w:space="0"/>
              <w:left w:val="single" w:color="auto" w:sz="10" w:space="0"/>
              <w:bottom w:val="single" w:color="auto" w:sz="10" w:space="0"/>
              <w:right w:val="single" w:color="auto" w:sz="10" w:space="0"/>
              <w:insideV w:val="single" w:sz="10" w:space="0"/>
            </w:tcBorders>
          </w:tcPr>
          <w:p w14:paraId="71C8E700">
            <w:pPr>
              <w:snapToGrid w:val="0"/>
            </w:pPr>
          </w:p>
        </w:tc>
        <w:tc>
          <w:tcPr>
            <w:tcW w:w="968" w:type="pct"/>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F18EEC">
            <w:pPr>
              <w:snapToGrid w:val="0"/>
              <w:jc w:val="center"/>
            </w:pPr>
            <w:r>
              <w:rPr>
                <w:rFonts w:ascii="宋体" w:hAnsi="宋体" w:eastAsia="宋体"/>
                <w:sz w:val="16"/>
              </w:rPr>
              <w:t>新生儿访视率、儿童健康管理率、早孕建册率、产后访视率、电子健康档案建档率</w:t>
            </w:r>
          </w:p>
        </w:tc>
        <w:tc>
          <w:tcPr>
            <w:tcW w:w="745" w:type="pct"/>
            <w:tcBorders>
              <w:top w:val="single" w:color="auto" w:sz="10" w:space="0"/>
              <w:left w:val="single" w:color="auto" w:sz="10" w:space="0"/>
              <w:bottom w:val="single" w:color="auto" w:sz="10" w:space="0"/>
              <w:right w:val="single" w:color="auto" w:sz="10" w:space="0"/>
              <w:insideV w:val="single" w:sz="10" w:space="0"/>
            </w:tcBorders>
            <w:vAlign w:val="center"/>
          </w:tcPr>
          <w:p w14:paraId="478ED35C">
            <w:pPr>
              <w:snapToGrid w:val="0"/>
              <w:jc w:val="center"/>
            </w:pPr>
            <w:r>
              <w:rPr>
                <w:rFonts w:ascii="宋体" w:hAnsi="宋体" w:eastAsia="宋体"/>
                <w:sz w:val="16"/>
              </w:rPr>
              <w:t>&gt;85%</w:t>
            </w:r>
          </w:p>
        </w:tc>
        <w:tc>
          <w:tcPr>
            <w:tcW w:w="712" w:type="pct"/>
            <w:tcBorders>
              <w:top w:val="single" w:color="auto" w:sz="10" w:space="0"/>
              <w:left w:val="single" w:color="auto" w:sz="10" w:space="0"/>
              <w:bottom w:val="single" w:color="auto" w:sz="10" w:space="0"/>
              <w:right w:val="single" w:color="auto" w:sz="10" w:space="0"/>
              <w:insideV w:val="single" w:sz="10" w:space="0"/>
            </w:tcBorders>
            <w:vAlign w:val="center"/>
          </w:tcPr>
          <w:p w14:paraId="4D7183C7">
            <w:pPr>
              <w:snapToGrid w:val="0"/>
              <w:jc w:val="center"/>
            </w:pPr>
            <w:r>
              <w:rPr>
                <w:rFonts w:ascii="宋体" w:hAnsi="宋体" w:eastAsia="宋体"/>
                <w:sz w:val="16"/>
              </w:rPr>
              <w:t>2024年工作计划</w:t>
            </w:r>
          </w:p>
        </w:tc>
        <w:tc>
          <w:tcPr>
            <w:tcW w:w="386" w:type="pct"/>
            <w:tcBorders>
              <w:top w:val="single" w:color="auto" w:sz="10" w:space="0"/>
              <w:left w:val="single" w:color="auto" w:sz="10" w:space="0"/>
              <w:bottom w:val="single" w:color="auto" w:sz="10" w:space="0"/>
              <w:right w:val="single" w:color="auto" w:sz="10" w:space="0"/>
              <w:insideV w:val="single" w:sz="10" w:space="0"/>
            </w:tcBorders>
            <w:vAlign w:val="center"/>
          </w:tcPr>
          <w:p w14:paraId="6A8C1234">
            <w:pPr>
              <w:snapToGrid w:val="0"/>
              <w:jc w:val="center"/>
            </w:pPr>
            <w:r>
              <w:rPr>
                <w:rFonts w:ascii="宋体" w:hAnsi="宋体" w:eastAsia="宋体"/>
                <w:sz w:val="16"/>
              </w:rPr>
              <w:t>12</w:t>
            </w:r>
          </w:p>
        </w:tc>
        <w:tc>
          <w:tcPr>
            <w:tcW w:w="701" w:type="pct"/>
            <w:tcBorders>
              <w:top w:val="single" w:color="auto" w:sz="10" w:space="0"/>
              <w:left w:val="single" w:color="auto" w:sz="10" w:space="0"/>
              <w:bottom w:val="single" w:color="auto" w:sz="10" w:space="0"/>
              <w:right w:val="single" w:color="auto" w:sz="10" w:space="0"/>
              <w:insideV w:val="single" w:sz="10" w:space="0"/>
            </w:tcBorders>
            <w:vAlign w:val="center"/>
          </w:tcPr>
          <w:p w14:paraId="3A768437">
            <w:pPr>
              <w:snapToGrid w:val="0"/>
              <w:jc w:val="center"/>
            </w:pPr>
            <w:r>
              <w:rPr>
                <w:rFonts w:ascii="宋体" w:hAnsi="宋体" w:eastAsia="宋体"/>
                <w:sz w:val="16"/>
              </w:rPr>
              <w:t>97.44%</w:t>
            </w:r>
          </w:p>
        </w:tc>
        <w:tc>
          <w:tcPr>
            <w:tcW w:w="437" w:type="pct"/>
            <w:tcBorders>
              <w:top w:val="single" w:color="auto" w:sz="10" w:space="0"/>
              <w:left w:val="single" w:color="auto" w:sz="10" w:space="0"/>
              <w:bottom w:val="single" w:color="auto" w:sz="10" w:space="0"/>
              <w:right w:val="single" w:color="auto" w:sz="10" w:space="0"/>
              <w:insideV w:val="single" w:sz="10" w:space="0"/>
            </w:tcBorders>
            <w:vAlign w:val="center"/>
          </w:tcPr>
          <w:p w14:paraId="7C3353B0">
            <w:pPr>
              <w:snapToGrid w:val="0"/>
              <w:jc w:val="center"/>
            </w:pPr>
            <w:r>
              <w:rPr>
                <w:rFonts w:ascii="宋体" w:hAnsi="宋体" w:eastAsia="宋体"/>
                <w:sz w:val="16"/>
              </w:rPr>
              <w:t>12</w:t>
            </w:r>
          </w:p>
        </w:tc>
      </w:tr>
    </w:tbl>
    <w:p w14:paraId="5D9D2031">
      <w:r>
        <w:br w:type="page"/>
      </w:r>
    </w:p>
    <w:p w14:paraId="4AC4247C">
      <w:pPr>
        <w:spacing w:line="640" w:lineRule="exact"/>
        <w:ind w:firstLine="640"/>
        <w:jc w:val="both"/>
        <w:outlineLvl w:val="2"/>
      </w:pPr>
      <w:r>
        <w:rPr>
          <w:rFonts w:ascii="黑体" w:hAnsi="黑体" w:eastAsia="黑体"/>
          <w:sz w:val="32"/>
        </w:rPr>
        <w:t>十二、其他需说明的事项</w:t>
      </w:r>
    </w:p>
    <w:p w14:paraId="626A74EE">
      <w:pPr>
        <w:spacing w:line="580" w:lineRule="exact"/>
        <w:ind w:firstLine="640"/>
        <w:jc w:val="both"/>
      </w:pPr>
      <w:r>
        <w:rPr>
          <w:rFonts w:ascii="仿宋_GB2312" w:hAnsi="仿宋_GB2312" w:eastAsia="仿宋_GB2312"/>
          <w:b w:val="0"/>
          <w:sz w:val="32"/>
        </w:rPr>
        <w:t>本单位无其他需说明的事项。</w:t>
      </w:r>
    </w:p>
    <w:p w14:paraId="3B3EAB72">
      <w:r>
        <w:br w:type="page"/>
      </w:r>
    </w:p>
    <w:p w14:paraId="486597C1">
      <w:pPr>
        <w:spacing w:line="240" w:lineRule="auto"/>
        <w:jc w:val="center"/>
        <w:outlineLvl w:val="1"/>
      </w:pPr>
      <w:r>
        <w:rPr>
          <w:rFonts w:ascii="黑体" w:hAnsi="黑体" w:eastAsia="黑体"/>
          <w:sz w:val="32"/>
        </w:rPr>
        <w:t>第三部分 专业名词解释</w:t>
      </w:r>
    </w:p>
    <w:p w14:paraId="1F9DBB66">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4E2F35A9">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6EE7B296">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1F887C27">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73F15115">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4F4AFB44">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E07A523">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091CC3EF">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4EE9E4B5">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7F323AAE">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2D33A85A">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1F158DE3">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27C50080">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0F511EAC">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460EF498">
      <w:r>
        <w:br w:type="page"/>
      </w:r>
    </w:p>
    <w:p w14:paraId="59787AF1">
      <w:pPr>
        <w:spacing w:line="240" w:lineRule="auto"/>
        <w:jc w:val="center"/>
        <w:outlineLvl w:val="1"/>
      </w:pPr>
      <w:r>
        <w:rPr>
          <w:rFonts w:ascii="黑体" w:hAnsi="黑体" w:eastAsia="黑体"/>
          <w:sz w:val="32"/>
        </w:rPr>
        <w:t>第四部分 部门决算报表（见附表）</w:t>
      </w:r>
    </w:p>
    <w:p w14:paraId="45D45E43">
      <w:pPr>
        <w:spacing w:line="240" w:lineRule="auto"/>
        <w:ind w:firstLine="640"/>
        <w:jc w:val="both"/>
      </w:pPr>
      <w:r>
        <w:rPr>
          <w:rFonts w:ascii="仿宋_GB2312" w:hAnsi="仿宋_GB2312" w:eastAsia="仿宋_GB2312"/>
          <w:b w:val="0"/>
          <w:sz w:val="32"/>
        </w:rPr>
        <w:t>一、《收入支出决算总表》</w:t>
      </w:r>
    </w:p>
    <w:p w14:paraId="6A2ADF5B">
      <w:pPr>
        <w:spacing w:line="240" w:lineRule="auto"/>
        <w:ind w:firstLine="640"/>
        <w:jc w:val="both"/>
      </w:pPr>
      <w:r>
        <w:rPr>
          <w:rFonts w:ascii="仿宋_GB2312" w:hAnsi="仿宋_GB2312" w:eastAsia="仿宋_GB2312"/>
          <w:b w:val="0"/>
          <w:sz w:val="32"/>
        </w:rPr>
        <w:t>二、《收入决算表》</w:t>
      </w:r>
    </w:p>
    <w:p w14:paraId="15D328A8">
      <w:pPr>
        <w:spacing w:line="240" w:lineRule="auto"/>
        <w:ind w:firstLine="640"/>
        <w:jc w:val="both"/>
      </w:pPr>
      <w:r>
        <w:rPr>
          <w:rFonts w:ascii="仿宋_GB2312" w:hAnsi="仿宋_GB2312" w:eastAsia="仿宋_GB2312"/>
          <w:b w:val="0"/>
          <w:sz w:val="32"/>
        </w:rPr>
        <w:t>三、《支出决算表》</w:t>
      </w:r>
    </w:p>
    <w:p w14:paraId="00E67A37">
      <w:pPr>
        <w:spacing w:line="240" w:lineRule="auto"/>
        <w:ind w:firstLine="640"/>
        <w:jc w:val="both"/>
      </w:pPr>
      <w:r>
        <w:rPr>
          <w:rFonts w:ascii="仿宋_GB2312" w:hAnsi="仿宋_GB2312" w:eastAsia="仿宋_GB2312"/>
          <w:b w:val="0"/>
          <w:sz w:val="32"/>
        </w:rPr>
        <w:t>四、《财政拨款收入支出决算总表》</w:t>
      </w:r>
    </w:p>
    <w:p w14:paraId="24B3E40A">
      <w:pPr>
        <w:spacing w:line="240" w:lineRule="auto"/>
        <w:ind w:firstLine="640"/>
        <w:jc w:val="both"/>
      </w:pPr>
      <w:r>
        <w:rPr>
          <w:rFonts w:ascii="仿宋_GB2312" w:hAnsi="仿宋_GB2312" w:eastAsia="仿宋_GB2312"/>
          <w:b w:val="0"/>
          <w:sz w:val="32"/>
        </w:rPr>
        <w:t>五、《一般公共预算财政拨款支出决算表》</w:t>
      </w:r>
    </w:p>
    <w:p w14:paraId="0C2B17B0">
      <w:pPr>
        <w:spacing w:line="240" w:lineRule="auto"/>
        <w:ind w:firstLine="640"/>
        <w:jc w:val="both"/>
      </w:pPr>
      <w:r>
        <w:rPr>
          <w:rFonts w:ascii="仿宋_GB2312" w:hAnsi="仿宋_GB2312" w:eastAsia="仿宋_GB2312"/>
          <w:b w:val="0"/>
          <w:sz w:val="32"/>
        </w:rPr>
        <w:t>六、《一般公共预算财政拨款基本支出决算表》</w:t>
      </w:r>
    </w:p>
    <w:p w14:paraId="43D51945">
      <w:pPr>
        <w:spacing w:line="240" w:lineRule="auto"/>
        <w:ind w:firstLine="640"/>
        <w:jc w:val="both"/>
      </w:pPr>
      <w:r>
        <w:rPr>
          <w:rFonts w:ascii="仿宋_GB2312" w:hAnsi="仿宋_GB2312" w:eastAsia="仿宋_GB2312"/>
          <w:b w:val="0"/>
          <w:sz w:val="32"/>
        </w:rPr>
        <w:t>七、《政府性基金预算财政拨款收入支出决算表》</w:t>
      </w:r>
    </w:p>
    <w:p w14:paraId="10C4D306">
      <w:pPr>
        <w:spacing w:line="240" w:lineRule="auto"/>
        <w:ind w:firstLine="640"/>
        <w:jc w:val="both"/>
      </w:pPr>
      <w:r>
        <w:rPr>
          <w:rFonts w:ascii="仿宋_GB2312" w:hAnsi="仿宋_GB2312" w:eastAsia="仿宋_GB2312"/>
          <w:b w:val="0"/>
          <w:sz w:val="32"/>
        </w:rPr>
        <w:t>八、《国有资本经营预算财政拨款收入支出决算表》</w:t>
      </w:r>
    </w:p>
    <w:p w14:paraId="306BC33B">
      <w:pPr>
        <w:spacing w:line="240" w:lineRule="auto"/>
        <w:ind w:firstLine="640"/>
        <w:jc w:val="both"/>
      </w:pPr>
      <w:r>
        <w:rPr>
          <w:rFonts w:ascii="仿宋_GB2312" w:hAnsi="仿宋_GB2312" w:eastAsia="仿宋_GB2312"/>
          <w:b w:val="0"/>
          <w:sz w:val="32"/>
        </w:rPr>
        <w:t>九、《财政拨款“三公”经费支出决算表》</w:t>
      </w:r>
    </w:p>
    <w:p w14:paraId="6A53862B">
      <w:pPr>
        <w:spacing w:line="240" w:lineRule="auto"/>
        <w:ind w:firstLine="640"/>
        <w:jc w:val="both"/>
      </w:pPr>
    </w:p>
    <w:p w14:paraId="4786263C">
      <w:pPr>
        <w:spacing w:line="240" w:lineRule="auto"/>
        <w:ind w:firstLine="640"/>
        <w:jc w:val="both"/>
      </w:pPr>
    </w:p>
    <w:p w14:paraId="1D6292EB">
      <w:pPr>
        <w:spacing w:line="240" w:lineRule="auto"/>
        <w:ind w:firstLine="640"/>
        <w:jc w:val="both"/>
      </w:pPr>
    </w:p>
    <w:p w14:paraId="6DF4719F">
      <w:pPr>
        <w:spacing w:line="240" w:lineRule="auto"/>
        <w:ind w:firstLine="640"/>
        <w:jc w:val="both"/>
      </w:pPr>
    </w:p>
    <w:p w14:paraId="3B79E931">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AF3B58-90C8-4FA1-80AB-1C87E0F67F9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B0604020202020204"/>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2E3FA69B-23FA-4FF9-9811-F20DE4385BB3}"/>
  </w:font>
  <w:font w:name="楷体_GB2312">
    <w:panose1 w:val="02010609030101010101"/>
    <w:charset w:val="86"/>
    <w:family w:val="auto"/>
    <w:pitch w:val="default"/>
    <w:sig w:usb0="00000001" w:usb1="080E0000" w:usb2="00000000" w:usb3="00000000" w:csb0="00040000" w:csb1="00000000"/>
    <w:embedRegular r:id="rId3" w:fontKey="{C34BC92A-C7F3-4487-9C8D-A420E71C7FF3}"/>
  </w:font>
  <w:font w:name="方正小标宋_GBK">
    <w:panose1 w:val="02000000000000000000"/>
    <w:charset w:val="86"/>
    <w:family w:val="script"/>
    <w:pitch w:val="default"/>
    <w:sig w:usb0="A00002BF" w:usb1="38CF7CFA" w:usb2="00082016" w:usb3="00000000" w:csb0="00040001" w:csb1="00000000"/>
    <w:embedRegular r:id="rId4" w:fontKey="{BBA012C3-7B3D-4D3F-B3CA-1AD321C2B1F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AFE700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5418</Words>
  <Characters>6330</Characters>
  <Lines>0</Lines>
  <Paragraphs>0</Paragraphs>
  <TotalTime>0</TotalTime>
  <ScaleCrop>false</ScaleCrop>
  <LinksUpToDate>false</LinksUpToDate>
  <CharactersWithSpaces>6338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2025-09-04T08:39:28Z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eyJoZGlkIjoiNTBiYjFiYzY0OWM2ODlhYjA1NDAwODJkOGMwZGNkYTMiLCJ1c2VySWQiOiIyNTk4NTcxMjUifQ==</vt:lpwstr>
  </property>
</Properties>
</file>